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B3" w:rsidRDefault="00F220FA">
      <w:pPr>
        <w:rPr>
          <w:b/>
          <w:i/>
          <w:color w:val="FF0000"/>
          <w:sz w:val="28"/>
        </w:rPr>
      </w:pPr>
      <w:r>
        <w:rPr>
          <w:b/>
          <w:i/>
          <w:color w:val="FF0000"/>
          <w:sz w:val="28"/>
        </w:rPr>
        <w:t>NEURE KABUZ</w:t>
      </w:r>
    </w:p>
    <w:p w:rsidR="00CB6CB3" w:rsidRDefault="00F220FA">
      <w:pPr>
        <w:spacing w:after="0"/>
        <w:rPr>
          <w:i/>
          <w:sz w:val="24"/>
        </w:rPr>
      </w:pPr>
      <w:r>
        <w:rPr>
          <w:i/>
          <w:sz w:val="24"/>
        </w:rPr>
        <w:t>Por JON AZUA</w:t>
      </w:r>
    </w:p>
    <w:p w:rsidR="00CB6CB3" w:rsidRDefault="00CB6CB3">
      <w:pPr>
        <w:spacing w:after="0"/>
        <w:rPr>
          <w:sz w:val="24"/>
        </w:rPr>
      </w:pPr>
    </w:p>
    <w:p w:rsidR="00CB6CB3" w:rsidRDefault="00F220FA">
      <w:pPr>
        <w:spacing w:after="0"/>
        <w:rPr>
          <w:b/>
          <w:sz w:val="28"/>
        </w:rPr>
      </w:pPr>
      <w:r>
        <w:rPr>
          <w:b/>
          <w:sz w:val="28"/>
        </w:rPr>
        <w:t>Empleo, empleo, empleo…</w:t>
      </w:r>
    </w:p>
    <w:p w:rsidR="00CB6CB3" w:rsidRDefault="00F220FA">
      <w:pPr>
        <w:spacing w:after="0"/>
        <w:rPr>
          <w:b/>
          <w:sz w:val="28"/>
        </w:rPr>
      </w:pPr>
      <w:r>
        <w:rPr>
          <w:b/>
          <w:sz w:val="28"/>
        </w:rPr>
        <w:t>Hacia la prosperidad en una economía ansiosa.</w:t>
      </w:r>
    </w:p>
    <w:p w:rsidR="00CB6CB3" w:rsidRDefault="00CB6CB3">
      <w:pPr>
        <w:spacing w:after="0"/>
        <w:rPr>
          <w:sz w:val="28"/>
        </w:rPr>
      </w:pPr>
    </w:p>
    <w:p w:rsidR="00CB6CB3" w:rsidRPr="005148D6" w:rsidRDefault="00F220FA" w:rsidP="009F0873">
      <w:pPr>
        <w:pStyle w:val="Body1"/>
        <w:spacing w:after="0"/>
        <w:ind w:firstLine="284"/>
        <w:jc w:val="both"/>
        <w:rPr>
          <w:rFonts w:asciiTheme="minorHAnsi" w:hAnsiTheme="minorHAnsi" w:cstheme="minorHAnsi"/>
          <w:color w:val="auto"/>
          <w:sz w:val="24"/>
        </w:rPr>
      </w:pPr>
      <w:r w:rsidRPr="005148D6">
        <w:rPr>
          <w:rFonts w:asciiTheme="minorHAnsi" w:hAnsiTheme="minorHAnsi" w:cstheme="minorHAnsi"/>
          <w:sz w:val="24"/>
        </w:rPr>
        <w:t xml:space="preserve">La publicación de los últimos datos de empleo en los Estados Unidos con una tasa de desempleo en </w:t>
      </w:r>
      <w:r w:rsidRPr="005148D6">
        <w:rPr>
          <w:rFonts w:asciiTheme="minorHAnsi" w:hAnsiTheme="minorHAnsi" w:cstheme="minorHAnsi"/>
          <w:color w:val="auto"/>
          <w:sz w:val="24"/>
        </w:rPr>
        <w:t>torno a</w:t>
      </w:r>
      <w:r w:rsidRPr="005148D6">
        <w:rPr>
          <w:rFonts w:asciiTheme="minorHAnsi" w:hAnsiTheme="minorHAnsi" w:cstheme="minorHAnsi"/>
          <w:sz w:val="24"/>
        </w:rPr>
        <w:t xml:space="preserve">l 7,5%, posición similar a la del año 2008, </w:t>
      </w:r>
      <w:r w:rsidR="005148D6">
        <w:rPr>
          <w:rFonts w:asciiTheme="minorHAnsi" w:hAnsiTheme="minorHAnsi" w:cstheme="minorHAnsi"/>
          <w:sz w:val="24"/>
        </w:rPr>
        <w:t xml:space="preserve">periodo pre crisis, y la </w:t>
      </w:r>
      <w:r w:rsidRPr="005148D6">
        <w:rPr>
          <w:rFonts w:asciiTheme="minorHAnsi" w:hAnsiTheme="minorHAnsi" w:cstheme="minorHAnsi"/>
          <w:sz w:val="24"/>
        </w:rPr>
        <w:t>comunicación del acuer</w:t>
      </w:r>
      <w:r w:rsidR="00826F1A">
        <w:rPr>
          <w:rFonts w:asciiTheme="minorHAnsi" w:hAnsiTheme="minorHAnsi" w:cstheme="minorHAnsi"/>
          <w:sz w:val="24"/>
        </w:rPr>
        <w:t xml:space="preserve">do </w:t>
      </w:r>
      <w:proofErr w:type="spellStart"/>
      <w:r w:rsidR="00826F1A">
        <w:rPr>
          <w:rFonts w:asciiTheme="minorHAnsi" w:hAnsiTheme="minorHAnsi" w:cstheme="minorHAnsi"/>
          <w:sz w:val="24"/>
        </w:rPr>
        <w:t>bi</w:t>
      </w:r>
      <w:proofErr w:type="spellEnd"/>
      <w:r w:rsidR="00826F1A">
        <w:rPr>
          <w:rFonts w:asciiTheme="minorHAnsi" w:hAnsiTheme="minorHAnsi" w:cstheme="minorHAnsi"/>
          <w:sz w:val="24"/>
        </w:rPr>
        <w:t xml:space="preserve"> partidista en el </w:t>
      </w:r>
      <w:r w:rsidR="005148D6">
        <w:rPr>
          <w:rFonts w:asciiTheme="minorHAnsi" w:hAnsiTheme="minorHAnsi" w:cstheme="minorHAnsi"/>
          <w:sz w:val="24"/>
        </w:rPr>
        <w:t xml:space="preserve">Congreso </w:t>
      </w:r>
      <w:r w:rsidRPr="005148D6">
        <w:rPr>
          <w:rFonts w:asciiTheme="minorHAnsi" w:hAnsiTheme="minorHAnsi" w:cstheme="minorHAnsi"/>
          <w:sz w:val="24"/>
        </w:rPr>
        <w:t>en relación con el presupuesto para los ejercicios 2014 y 2015, fijando el gasto</w:t>
      </w:r>
      <w:r w:rsidR="00CF23D7">
        <w:rPr>
          <w:rFonts w:asciiTheme="minorHAnsi" w:hAnsiTheme="minorHAnsi" w:cstheme="minorHAnsi"/>
          <w:sz w:val="24"/>
        </w:rPr>
        <w:t xml:space="preserve"> anual autorizado para el periodo</w:t>
      </w:r>
      <w:r w:rsidR="00DB63B9">
        <w:rPr>
          <w:rFonts w:asciiTheme="minorHAnsi" w:hAnsiTheme="minorHAnsi" w:cstheme="minorHAnsi"/>
          <w:sz w:val="24"/>
        </w:rPr>
        <w:t xml:space="preserve"> en algo más de 1 </w:t>
      </w:r>
      <w:r w:rsidRPr="005148D6">
        <w:rPr>
          <w:rFonts w:asciiTheme="minorHAnsi" w:hAnsiTheme="minorHAnsi" w:cstheme="minorHAnsi"/>
          <w:sz w:val="24"/>
        </w:rPr>
        <w:t xml:space="preserve">trillón de dólares, eliminando partidas de gasto e incrementando las tasas de un buen número de servicios públicos, parecería haber relajado </w:t>
      </w:r>
      <w:r w:rsidR="00CF23D7">
        <w:rPr>
          <w:rFonts w:asciiTheme="minorHAnsi" w:hAnsiTheme="minorHAnsi" w:cstheme="minorHAnsi"/>
          <w:sz w:val="24"/>
        </w:rPr>
        <w:t>a</w:t>
      </w:r>
      <w:r w:rsidRPr="005148D6">
        <w:rPr>
          <w:rFonts w:asciiTheme="minorHAnsi" w:hAnsiTheme="minorHAnsi" w:cstheme="minorHAnsi"/>
          <w:sz w:val="24"/>
        </w:rPr>
        <w:t xml:space="preserve"> los medios</w:t>
      </w:r>
      <w:r w:rsidR="005148D6">
        <w:rPr>
          <w:rFonts w:asciiTheme="minorHAnsi" w:hAnsiTheme="minorHAnsi" w:cstheme="minorHAnsi"/>
          <w:sz w:val="24"/>
        </w:rPr>
        <w:t xml:space="preserve"> </w:t>
      </w:r>
      <w:r w:rsidR="005148D6">
        <w:rPr>
          <w:rFonts w:asciiTheme="minorHAnsi" w:hAnsiTheme="minorHAnsi" w:cstheme="minorHAnsi"/>
          <w:color w:val="auto"/>
          <w:sz w:val="24"/>
        </w:rPr>
        <w:t>(</w:t>
      </w:r>
      <w:r w:rsidR="00F34E5E">
        <w:rPr>
          <w:rFonts w:asciiTheme="minorHAnsi" w:hAnsiTheme="minorHAnsi" w:cstheme="minorHAnsi"/>
          <w:color w:val="auto"/>
          <w:sz w:val="24"/>
        </w:rPr>
        <w:t>y</w:t>
      </w:r>
      <w:r w:rsidR="00CF23D7">
        <w:rPr>
          <w:rFonts w:asciiTheme="minorHAnsi" w:hAnsiTheme="minorHAnsi" w:cstheme="minorHAnsi"/>
          <w:color w:val="auto"/>
          <w:sz w:val="24"/>
        </w:rPr>
        <w:t>,</w:t>
      </w:r>
      <w:r w:rsidR="00F34E5E">
        <w:rPr>
          <w:rFonts w:asciiTheme="minorHAnsi" w:hAnsiTheme="minorHAnsi" w:cstheme="minorHAnsi"/>
          <w:color w:val="auto"/>
          <w:sz w:val="24"/>
        </w:rPr>
        <w:t xml:space="preserve"> </w:t>
      </w:r>
      <w:r w:rsidRPr="005148D6">
        <w:rPr>
          <w:rFonts w:asciiTheme="minorHAnsi" w:hAnsiTheme="minorHAnsi" w:cstheme="minorHAnsi"/>
          <w:color w:val="auto"/>
          <w:sz w:val="24"/>
        </w:rPr>
        <w:t>en</w:t>
      </w:r>
      <w:r w:rsidR="00CF23D7">
        <w:rPr>
          <w:rFonts w:asciiTheme="minorHAnsi" w:hAnsiTheme="minorHAnsi" w:cstheme="minorHAnsi"/>
          <w:color w:val="auto"/>
          <w:sz w:val="24"/>
        </w:rPr>
        <w:t xml:space="preserve"> especial, a</w:t>
      </w:r>
      <w:r w:rsidRPr="005148D6">
        <w:rPr>
          <w:rFonts w:asciiTheme="minorHAnsi" w:hAnsiTheme="minorHAnsi" w:cstheme="minorHAnsi"/>
          <w:color w:val="auto"/>
          <w:sz w:val="24"/>
        </w:rPr>
        <w:t xml:space="preserve"> Wall Street)</w:t>
      </w:r>
      <w:r w:rsidR="005148D6">
        <w:rPr>
          <w:rFonts w:asciiTheme="minorHAnsi" w:hAnsiTheme="minorHAnsi" w:cstheme="minorHAnsi"/>
          <w:sz w:val="24"/>
        </w:rPr>
        <w:t xml:space="preserve"> </w:t>
      </w:r>
      <w:r w:rsidR="00CF23D7">
        <w:rPr>
          <w:rFonts w:asciiTheme="minorHAnsi" w:hAnsiTheme="minorHAnsi" w:cstheme="minorHAnsi"/>
          <w:sz w:val="24"/>
        </w:rPr>
        <w:t xml:space="preserve">más allá de </w:t>
      </w:r>
      <w:r w:rsidR="005148D6">
        <w:rPr>
          <w:rFonts w:asciiTheme="minorHAnsi" w:hAnsiTheme="minorHAnsi" w:cstheme="minorHAnsi"/>
          <w:sz w:val="24"/>
        </w:rPr>
        <w:t xml:space="preserve">la preocupación real </w:t>
      </w:r>
      <w:r w:rsidRPr="005148D6">
        <w:rPr>
          <w:rFonts w:asciiTheme="minorHAnsi" w:hAnsiTheme="minorHAnsi" w:cstheme="minorHAnsi"/>
          <w:sz w:val="24"/>
        </w:rPr>
        <w:t>de los ciudadanos y la economía norteamericana (y mundial) que continúa sumida en el desafío de la creación de empleo, minoración de la desigualdad entre regiones y personas y la búsqueda de nuevas estrategias y políticas que no aparecen en el horizonte inmediato.</w:t>
      </w:r>
    </w:p>
    <w:p w:rsidR="00CB6CB3" w:rsidRDefault="00CB6CB3" w:rsidP="009F0873">
      <w:pPr>
        <w:pStyle w:val="Body1"/>
        <w:spacing w:after="0"/>
        <w:ind w:firstLine="284"/>
        <w:jc w:val="both"/>
        <w:rPr>
          <w:color w:val="auto"/>
          <w:sz w:val="24"/>
        </w:rPr>
      </w:pPr>
    </w:p>
    <w:p w:rsidR="00CB6CB3" w:rsidRPr="005148D6" w:rsidRDefault="00F220FA" w:rsidP="009F0873">
      <w:pPr>
        <w:pStyle w:val="Textosinformato"/>
        <w:spacing w:line="276" w:lineRule="auto"/>
        <w:ind w:firstLine="284"/>
        <w:jc w:val="both"/>
        <w:rPr>
          <w:rFonts w:asciiTheme="minorHAnsi" w:hAnsiTheme="minorHAnsi" w:cstheme="minorHAnsi"/>
          <w:sz w:val="24"/>
        </w:rPr>
      </w:pPr>
      <w:r w:rsidRPr="005148D6">
        <w:rPr>
          <w:rFonts w:asciiTheme="minorHAnsi" w:hAnsiTheme="minorHAnsi" w:cstheme="minorHAnsi"/>
          <w:sz w:val="24"/>
        </w:rPr>
        <w:t>La noticia, positiva en sí misma, no puede ocultar la gravedad del desempleo cuando se analiza en profundidad la calidad del empleo exist</w:t>
      </w:r>
      <w:r w:rsidR="00DB63B9">
        <w:rPr>
          <w:rFonts w:asciiTheme="minorHAnsi" w:hAnsiTheme="minorHAnsi" w:cstheme="minorHAnsi"/>
          <w:sz w:val="24"/>
        </w:rPr>
        <w:t xml:space="preserve">ente y/o creado, la composición </w:t>
      </w:r>
      <w:r w:rsidRPr="005148D6">
        <w:rPr>
          <w:rFonts w:asciiTheme="minorHAnsi" w:hAnsiTheme="minorHAnsi" w:cstheme="minorHAnsi"/>
          <w:sz w:val="24"/>
        </w:rPr>
        <w:t>del paro, su distribución territorial y por segmentos de edad, la correlación empleabilid</w:t>
      </w:r>
      <w:r w:rsidR="00F34E5E">
        <w:rPr>
          <w:rFonts w:asciiTheme="minorHAnsi" w:hAnsiTheme="minorHAnsi" w:cstheme="minorHAnsi"/>
          <w:sz w:val="24"/>
        </w:rPr>
        <w:t xml:space="preserve">ad- educación, su productividad </w:t>
      </w:r>
      <w:r w:rsidRPr="005148D6">
        <w:rPr>
          <w:rFonts w:asciiTheme="minorHAnsi" w:hAnsiTheme="minorHAnsi" w:cstheme="minorHAnsi"/>
          <w:sz w:val="24"/>
        </w:rPr>
        <w:t>y la excesiva concentración del empleo en tres estados (Massachusetts, Nueva York y California) y su referencia casi permanente al comportamiento de la oferta demanda en las grandes empresas -en especial- multinacionales.</w:t>
      </w:r>
    </w:p>
    <w:p w:rsidR="00CB6CB3" w:rsidRPr="005148D6" w:rsidRDefault="00CB6CB3" w:rsidP="009F0873">
      <w:pPr>
        <w:spacing w:after="0"/>
        <w:jc w:val="both"/>
        <w:rPr>
          <w:rFonts w:cstheme="minorHAnsi"/>
          <w:sz w:val="24"/>
          <w:lang w:eastAsia="en-US"/>
        </w:rPr>
      </w:pPr>
    </w:p>
    <w:p w:rsidR="00CB6CB3" w:rsidRPr="005148D6" w:rsidRDefault="00F220FA" w:rsidP="009F0873">
      <w:pPr>
        <w:pStyle w:val="Textosinformato"/>
        <w:spacing w:line="276" w:lineRule="auto"/>
        <w:ind w:firstLine="284"/>
        <w:jc w:val="both"/>
        <w:rPr>
          <w:rFonts w:asciiTheme="minorHAnsi" w:hAnsiTheme="minorHAnsi" w:cstheme="minorHAnsi"/>
          <w:sz w:val="24"/>
        </w:rPr>
      </w:pPr>
      <w:r w:rsidRPr="005148D6">
        <w:rPr>
          <w:rFonts w:asciiTheme="minorHAnsi" w:hAnsiTheme="minorHAnsi" w:cstheme="minorHAnsi"/>
          <w:sz w:val="24"/>
        </w:rPr>
        <w:t xml:space="preserve">No es decir nada nuevo que la primera preocupación a lo largo del planeta es el empleo. Toda propuesta estratégica o iniciativa demanda una evaluación de </w:t>
      </w:r>
      <w:r w:rsidR="005148D6">
        <w:rPr>
          <w:rFonts w:asciiTheme="minorHAnsi" w:hAnsiTheme="minorHAnsi" w:cstheme="minorHAnsi"/>
          <w:sz w:val="24"/>
        </w:rPr>
        <w:t xml:space="preserve">impacto en términos de creación </w:t>
      </w:r>
      <w:r w:rsidR="00F34E5E">
        <w:rPr>
          <w:rFonts w:asciiTheme="minorHAnsi" w:hAnsiTheme="minorHAnsi" w:cstheme="minorHAnsi"/>
          <w:sz w:val="24"/>
        </w:rPr>
        <w:t>de empleo sostenible (y</w:t>
      </w:r>
      <w:r w:rsidR="00CF23D7">
        <w:rPr>
          <w:rFonts w:asciiTheme="minorHAnsi" w:hAnsiTheme="minorHAnsi" w:cstheme="minorHAnsi"/>
          <w:sz w:val="24"/>
        </w:rPr>
        <w:t>,</w:t>
      </w:r>
      <w:r w:rsidR="00826F1A">
        <w:rPr>
          <w:rFonts w:asciiTheme="minorHAnsi" w:hAnsiTheme="minorHAnsi" w:cstheme="minorHAnsi"/>
          <w:sz w:val="24"/>
        </w:rPr>
        <w:t xml:space="preserve"> </w:t>
      </w:r>
      <w:r w:rsidR="00CF23D7">
        <w:rPr>
          <w:rFonts w:asciiTheme="minorHAnsi" w:hAnsiTheme="minorHAnsi" w:cstheme="minorHAnsi"/>
          <w:sz w:val="24"/>
        </w:rPr>
        <w:t>sobre todo,</w:t>
      </w:r>
      <w:r w:rsidRPr="005148D6">
        <w:rPr>
          <w:rFonts w:asciiTheme="minorHAnsi" w:hAnsiTheme="minorHAnsi" w:cstheme="minorHAnsi"/>
          <w:sz w:val="24"/>
        </w:rPr>
        <w:t xml:space="preserve"> inclusivo) y se infiere una inminente sensación de urgencia, la más de las veces, con tendencia a renunciar a su calidad-eficiencia-estabilidad.</w:t>
      </w:r>
    </w:p>
    <w:p w:rsidR="00CB6CB3" w:rsidRPr="005148D6" w:rsidRDefault="00CB6CB3" w:rsidP="009F0873">
      <w:pPr>
        <w:pStyle w:val="Body1"/>
        <w:spacing w:after="0"/>
        <w:ind w:left="644"/>
        <w:jc w:val="both"/>
        <w:rPr>
          <w:rFonts w:asciiTheme="minorHAnsi" w:hAnsiTheme="minorHAnsi" w:cstheme="minorHAnsi"/>
          <w:color w:val="auto"/>
          <w:sz w:val="24"/>
        </w:rPr>
      </w:pPr>
    </w:p>
    <w:p w:rsidR="00CB6CB3" w:rsidRPr="005148D6" w:rsidRDefault="00DB63B9" w:rsidP="009F0873">
      <w:pPr>
        <w:spacing w:after="0"/>
        <w:ind w:firstLine="284"/>
        <w:jc w:val="both"/>
        <w:rPr>
          <w:rFonts w:cstheme="minorHAnsi"/>
          <w:sz w:val="24"/>
          <w:lang w:eastAsia="en-US" w:bidi="th-TH"/>
        </w:rPr>
      </w:pPr>
      <w:r>
        <w:rPr>
          <w:rFonts w:cstheme="minorHAnsi"/>
          <w:sz w:val="24"/>
          <w:lang w:eastAsia="en-US" w:bidi="th-TH"/>
        </w:rPr>
        <w:t xml:space="preserve">Por centrarnos </w:t>
      </w:r>
      <w:bookmarkStart w:id="0" w:name="_GoBack"/>
      <w:bookmarkEnd w:id="0"/>
      <w:r w:rsidR="00F220FA" w:rsidRPr="005148D6">
        <w:rPr>
          <w:rFonts w:cstheme="minorHAnsi"/>
          <w:sz w:val="24"/>
          <w:lang w:eastAsia="en-US" w:bidi="th-TH"/>
        </w:rPr>
        <w:t xml:space="preserve">en Estados Unidos y su economía y evitar comparaciones de cualquier tipo, dado que esta noticia me pilla en este País, </w:t>
      </w:r>
      <w:r w:rsidR="00CF23D7">
        <w:rPr>
          <w:rFonts w:cstheme="minorHAnsi"/>
          <w:sz w:val="24"/>
          <w:lang w:eastAsia="en-US" w:bidi="th-TH"/>
        </w:rPr>
        <w:t xml:space="preserve">en pleno debate sobre su competitividad y su apuesta por “hacer volver a sus empresas a casa”, </w:t>
      </w:r>
      <w:r w:rsidR="00F34E5E">
        <w:rPr>
          <w:rFonts w:cstheme="minorHAnsi"/>
          <w:sz w:val="24"/>
          <w:lang w:eastAsia="en-US" w:bidi="th-TH"/>
        </w:rPr>
        <w:t xml:space="preserve">con el privilegio de contar </w:t>
      </w:r>
      <w:r w:rsidR="00F220FA" w:rsidRPr="005148D6">
        <w:rPr>
          <w:rFonts w:cstheme="minorHAnsi"/>
          <w:sz w:val="24"/>
          <w:lang w:eastAsia="en-US" w:bidi="th-TH"/>
        </w:rPr>
        <w:t>con protagonistas directos del ambicioso proyecto que impulsa la Universidad de Harvard, liderado por un espectacular elenc</w:t>
      </w:r>
      <w:r w:rsidR="00F34E5E">
        <w:rPr>
          <w:rFonts w:cstheme="minorHAnsi"/>
          <w:sz w:val="24"/>
          <w:lang w:eastAsia="en-US" w:bidi="th-TH"/>
        </w:rPr>
        <w:t xml:space="preserve">o de 15 profesores de prestigio </w:t>
      </w:r>
      <w:r w:rsidR="00F220FA" w:rsidRPr="005148D6">
        <w:rPr>
          <w:rFonts w:cstheme="minorHAnsi"/>
          <w:sz w:val="24"/>
          <w:lang w:eastAsia="en-US" w:bidi="th-TH"/>
        </w:rPr>
        <w:t>mundial,</w:t>
      </w:r>
      <w:r w:rsidR="00CF23D7">
        <w:rPr>
          <w:rFonts w:cstheme="minorHAnsi"/>
          <w:sz w:val="24"/>
          <w:lang w:eastAsia="en-US" w:bidi="th-TH"/>
        </w:rPr>
        <w:t xml:space="preserve"> la participación </w:t>
      </w:r>
      <w:r w:rsidR="00F34E5E">
        <w:rPr>
          <w:rFonts w:cstheme="minorHAnsi"/>
          <w:sz w:val="24"/>
          <w:lang w:eastAsia="en-US" w:bidi="th-TH"/>
        </w:rPr>
        <w:t xml:space="preserve">de </w:t>
      </w:r>
      <w:r w:rsidR="00CF23D7">
        <w:rPr>
          <w:rFonts w:cstheme="minorHAnsi"/>
          <w:sz w:val="24"/>
          <w:lang w:eastAsia="en-US" w:bidi="th-TH"/>
        </w:rPr>
        <w:t>miles de graduados que hoy asumen responsabilidades directivas en empresas y gobiernos norteamericanos,</w:t>
      </w:r>
      <w:r w:rsidR="00F220FA" w:rsidRPr="005148D6">
        <w:rPr>
          <w:rFonts w:cstheme="minorHAnsi"/>
          <w:sz w:val="24"/>
          <w:lang w:eastAsia="en-US" w:bidi="th-TH"/>
        </w:rPr>
        <w:t xml:space="preserve"> en el que el debate de hoy no es otro que la educación-empleabilidad y la formación en </w:t>
      </w:r>
      <w:r w:rsidR="00F220FA" w:rsidRPr="005148D6">
        <w:rPr>
          <w:rFonts w:cstheme="minorHAnsi"/>
          <w:sz w:val="24"/>
          <w:lang w:eastAsia="en-US" w:bidi="th-TH"/>
        </w:rPr>
        <w:lastRenderedPageBreak/>
        <w:t>capacidades medias críticas para la economía próspera que se pretende alcanzar, empecemos por unirnos a las voces que denuncian una auténtica obsesión macroeconómica (déficit públi</w:t>
      </w:r>
      <w:r w:rsidR="00CF23D7">
        <w:rPr>
          <w:rFonts w:cstheme="minorHAnsi"/>
          <w:sz w:val="24"/>
          <w:lang w:eastAsia="en-US" w:bidi="th-TH"/>
        </w:rPr>
        <w:t>co</w:t>
      </w:r>
      <w:r w:rsidR="00F220FA" w:rsidRPr="005148D6">
        <w:rPr>
          <w:rFonts w:cstheme="minorHAnsi"/>
          <w:sz w:val="24"/>
          <w:lang w:eastAsia="en-US" w:bidi="th-TH"/>
        </w:rPr>
        <w:t xml:space="preserve">, tipos de interés, balances y reformas fiscales y las bondades de la política monetaria), alejada del mundo creativo de las soluciones microeconómicas y empresariales generadoras de empleo y riqueza. Así, en palabras de la máxima responsable de la Oficina del Presidente Obama para la Administración y promoción de la PYME, Karen Mills, </w:t>
      </w:r>
      <w:r w:rsidR="00F220FA" w:rsidRPr="00CF23D7">
        <w:rPr>
          <w:rFonts w:cstheme="minorHAnsi"/>
          <w:b/>
          <w:i/>
          <w:sz w:val="24"/>
          <w:lang w:eastAsia="en-US" w:bidi="th-TH"/>
        </w:rPr>
        <w:t>“el juego al servicio del empleo que solamente podría jugarse en el terreno MICRO desde su tripleta activa (acceso al capital, necesidades-capacidades de las personas, instituciones facilitadoras e intermediarias del empleo en el Mercado de Trabajo) queda relegado, marginando recursos, prioridades y políticas reales que le acerque</w:t>
      </w:r>
      <w:r w:rsidR="005148D6" w:rsidRPr="00CF23D7">
        <w:rPr>
          <w:rFonts w:cstheme="minorHAnsi"/>
          <w:b/>
          <w:i/>
          <w:sz w:val="24"/>
          <w:lang w:eastAsia="en-US" w:bidi="th-TH"/>
        </w:rPr>
        <w:t>n a su tratamiento y solución”.</w:t>
      </w:r>
      <w:r w:rsidR="005148D6">
        <w:rPr>
          <w:rFonts w:cstheme="minorHAnsi"/>
          <w:sz w:val="24"/>
          <w:lang w:eastAsia="en-US" w:bidi="th-TH"/>
        </w:rPr>
        <w:t xml:space="preserve"> </w:t>
      </w:r>
      <w:r w:rsidR="00F220FA" w:rsidRPr="005148D6">
        <w:rPr>
          <w:rFonts w:cstheme="minorHAnsi"/>
          <w:sz w:val="24"/>
          <w:lang w:eastAsia="en-US" w:bidi="th-TH"/>
        </w:rPr>
        <w:t>Adicionalmente, se profundiza en el discurso de la dicotomía en prioridad y tiempo entre gasto y políticas sociales versus políticas económicas de desarrollo, lo que hace imposible encontrar un nuevo paradigma. Si además, al hilo del mencionado proyecto de competitividad, observamos que el ecosistema del emple</w:t>
      </w:r>
      <w:r w:rsidR="00F34E5E">
        <w:rPr>
          <w:rFonts w:cstheme="minorHAnsi"/>
          <w:sz w:val="24"/>
          <w:lang w:eastAsia="en-US" w:bidi="th-TH"/>
        </w:rPr>
        <w:t xml:space="preserve">o no responde a la necesidad de </w:t>
      </w:r>
      <w:r w:rsidR="00F220FA" w:rsidRPr="005148D6">
        <w:rPr>
          <w:rFonts w:cstheme="minorHAnsi"/>
          <w:sz w:val="24"/>
          <w:lang w:eastAsia="en-US" w:bidi="th-TH"/>
        </w:rPr>
        <w:t>actuar sobre “aquellos empleos de capacidad media” que son los verdaderos determinantes del diferencial competitivo, que requieren un esfuerzo especial en términos de formación y reciclaje ad hoc inmediato, demandantes de su inclusión en el proyecto de futuro de esta sociedad empeñada en lograr “volver a fabricar en América productos y soluciones globales”, la inicial noticia positiva acentúa las dudas. Sin duda, un cambio de enfoque no puede hacerse esperar.</w:t>
      </w:r>
    </w:p>
    <w:p w:rsidR="00CB6CB3" w:rsidRPr="005148D6" w:rsidRDefault="00CB6CB3" w:rsidP="009F0873">
      <w:pPr>
        <w:pStyle w:val="Body1"/>
        <w:spacing w:after="0"/>
        <w:ind w:firstLine="284"/>
        <w:jc w:val="both"/>
        <w:rPr>
          <w:rFonts w:asciiTheme="minorHAnsi" w:hAnsiTheme="minorHAnsi" w:cstheme="minorHAnsi"/>
          <w:color w:val="auto"/>
          <w:sz w:val="24"/>
        </w:rPr>
      </w:pPr>
    </w:p>
    <w:p w:rsidR="00CB6CB3" w:rsidRDefault="00F220FA" w:rsidP="009F0873">
      <w:pPr>
        <w:pStyle w:val="Body1"/>
        <w:spacing w:after="0"/>
        <w:ind w:firstLine="284"/>
        <w:jc w:val="both"/>
        <w:rPr>
          <w:rFonts w:asciiTheme="minorHAnsi" w:hAnsiTheme="minorHAnsi" w:cstheme="minorHAnsi"/>
          <w:sz w:val="24"/>
        </w:rPr>
      </w:pPr>
      <w:r w:rsidRPr="005148D6">
        <w:rPr>
          <w:rFonts w:asciiTheme="minorHAnsi" w:hAnsiTheme="minorHAnsi" w:cstheme="minorHAnsi"/>
          <w:sz w:val="24"/>
        </w:rPr>
        <w:t xml:space="preserve">En esta línea, </w:t>
      </w:r>
      <w:r w:rsidRPr="005148D6">
        <w:rPr>
          <w:rFonts w:asciiTheme="minorHAnsi" w:hAnsiTheme="minorHAnsi" w:cstheme="minorHAnsi"/>
          <w:color w:val="auto"/>
          <w:sz w:val="24"/>
        </w:rPr>
        <w:t>se apunta como la necesidad de re</w:t>
      </w:r>
      <w:r w:rsidRPr="005148D6">
        <w:rPr>
          <w:rFonts w:asciiTheme="minorHAnsi" w:hAnsiTheme="minorHAnsi" w:cstheme="minorHAnsi"/>
          <w:sz w:val="24"/>
        </w:rPr>
        <w:t xml:space="preserve">dirigir la mirada a la PYME comprometida con la Comunidad en que opera, exige redireccionar las políticas públicas motivadoras y/o acompañantes de estrategias empresariales por el empleo, preocupadas por el capital humano y social que se deteriora día a día como consecuencia de la crisis. </w:t>
      </w:r>
      <w:r w:rsidRPr="00CF23D7">
        <w:rPr>
          <w:rFonts w:asciiTheme="minorHAnsi" w:hAnsiTheme="minorHAnsi" w:cstheme="minorHAnsi"/>
          <w:sz w:val="24"/>
        </w:rPr>
        <w:t>La empresa está necesitada de apoyos que acompañen sus compromisos con la economía real</w:t>
      </w:r>
      <w:r w:rsidRPr="00CF23D7">
        <w:rPr>
          <w:rFonts w:asciiTheme="minorHAnsi" w:hAnsiTheme="minorHAnsi" w:cstheme="minorHAnsi"/>
          <w:color w:val="auto"/>
          <w:sz w:val="24"/>
        </w:rPr>
        <w:t xml:space="preserve"> y enfrentan el reto de </w:t>
      </w:r>
      <w:r w:rsidR="005148D6" w:rsidRPr="00CF23D7">
        <w:rPr>
          <w:rFonts w:asciiTheme="minorHAnsi" w:hAnsiTheme="minorHAnsi" w:cstheme="minorHAnsi"/>
          <w:color w:val="auto"/>
          <w:sz w:val="24"/>
        </w:rPr>
        <w:t>la</w:t>
      </w:r>
      <w:r w:rsidRPr="00CF23D7">
        <w:rPr>
          <w:rFonts w:asciiTheme="minorHAnsi" w:hAnsiTheme="minorHAnsi" w:cstheme="minorHAnsi"/>
          <w:color w:val="auto"/>
          <w:sz w:val="24"/>
        </w:rPr>
        <w:t xml:space="preserve"> reinvención de sus modelos de negocio bajo el filtro orientador de la creación de empleo productivo y rentable.</w:t>
      </w:r>
      <w:r w:rsidRPr="005148D6">
        <w:rPr>
          <w:rFonts w:asciiTheme="minorHAnsi" w:hAnsiTheme="minorHAnsi" w:cstheme="minorHAnsi"/>
          <w:sz w:val="24"/>
        </w:rPr>
        <w:t xml:space="preserve"> Como no podía ser de otra manera (al menos para quienes llevamos años conviviendo con la experiencia y creciendo con su evolución), una de las líneas estratégicas de solución apuntadas pasa por la clusteriz</w:t>
      </w:r>
      <w:r w:rsidR="005148D6">
        <w:rPr>
          <w:rFonts w:asciiTheme="minorHAnsi" w:hAnsiTheme="minorHAnsi" w:cstheme="minorHAnsi"/>
          <w:sz w:val="24"/>
        </w:rPr>
        <w:t xml:space="preserve">ación de la actividad económica </w:t>
      </w:r>
      <w:r w:rsidR="0096150A">
        <w:rPr>
          <w:rFonts w:asciiTheme="minorHAnsi" w:hAnsiTheme="minorHAnsi" w:cstheme="minorHAnsi"/>
          <w:sz w:val="24"/>
        </w:rPr>
        <w:t xml:space="preserve">facilitando la </w:t>
      </w:r>
      <w:r w:rsidRPr="005148D6">
        <w:rPr>
          <w:rFonts w:asciiTheme="minorHAnsi" w:hAnsiTheme="minorHAnsi" w:cstheme="minorHAnsi"/>
          <w:sz w:val="24"/>
        </w:rPr>
        <w:t xml:space="preserve">coopetencia, generando una dimensión competitiva, desarrollando cadenas de valor completas, asociando la actividad económica al territorio y sus demandas reales locales, bajo estrategias simultaneas de desarrollo económico y desarrollo social. Así los datos de la SME </w:t>
      </w:r>
      <w:r w:rsidR="005148D6">
        <w:rPr>
          <w:rFonts w:asciiTheme="minorHAnsi" w:hAnsiTheme="minorHAnsi" w:cstheme="minorHAnsi"/>
          <w:color w:val="auto"/>
          <w:sz w:val="24"/>
        </w:rPr>
        <w:t>(Administración de la PYME)</w:t>
      </w:r>
      <w:r w:rsidRPr="005148D6">
        <w:rPr>
          <w:rFonts w:asciiTheme="minorHAnsi" w:hAnsiTheme="minorHAnsi" w:cstheme="minorHAnsi"/>
          <w:color w:val="auto"/>
          <w:sz w:val="24"/>
        </w:rPr>
        <w:t>,</w:t>
      </w:r>
      <w:r w:rsidR="005148D6">
        <w:rPr>
          <w:rFonts w:asciiTheme="minorHAnsi" w:hAnsiTheme="minorHAnsi" w:cstheme="minorHAnsi"/>
          <w:color w:val="auto"/>
          <w:sz w:val="24"/>
        </w:rPr>
        <w:t xml:space="preserve"> </w:t>
      </w:r>
      <w:r w:rsidRPr="005148D6">
        <w:rPr>
          <w:rFonts w:asciiTheme="minorHAnsi" w:hAnsiTheme="minorHAnsi" w:cstheme="minorHAnsi"/>
          <w:sz w:val="24"/>
        </w:rPr>
        <w:t>tras sus iniciativas de los dos últimos años lo avalan</w:t>
      </w:r>
      <w:r w:rsidR="00CA5749">
        <w:rPr>
          <w:rFonts w:asciiTheme="minorHAnsi" w:hAnsiTheme="minorHAnsi" w:cstheme="minorHAnsi"/>
          <w:sz w:val="24"/>
        </w:rPr>
        <w:t xml:space="preserve">, refuerzan el rol y compromiso </w:t>
      </w:r>
      <w:r w:rsidRPr="005148D6">
        <w:rPr>
          <w:rFonts w:asciiTheme="minorHAnsi" w:hAnsiTheme="minorHAnsi" w:cstheme="minorHAnsi"/>
          <w:sz w:val="24"/>
        </w:rPr>
        <w:t xml:space="preserve">no ya de Washington sino sobre todo de los diferentes Estados y principales ciudades de la Unión como “espacios naturales” para responder a la adecuación  oferta-demanda y a la empleabilidad de la inversión educativa. Es el momento, </w:t>
      </w:r>
      <w:r w:rsidR="00CF23D7">
        <w:rPr>
          <w:rFonts w:asciiTheme="minorHAnsi" w:hAnsiTheme="minorHAnsi" w:cstheme="minorHAnsi"/>
          <w:sz w:val="24"/>
        </w:rPr>
        <w:t>se dice</w:t>
      </w:r>
      <w:r w:rsidRPr="005148D6">
        <w:rPr>
          <w:rFonts w:asciiTheme="minorHAnsi" w:hAnsiTheme="minorHAnsi" w:cstheme="minorHAnsi"/>
          <w:sz w:val="24"/>
        </w:rPr>
        <w:t xml:space="preserve">, de preguntarse si el sistema educativo -en todos los niveles- no es capaz de ofrecer las capacidades que </w:t>
      </w:r>
      <w:r w:rsidRPr="005148D6">
        <w:rPr>
          <w:rFonts w:asciiTheme="minorHAnsi" w:hAnsiTheme="minorHAnsi" w:cstheme="minorHAnsi"/>
          <w:sz w:val="24"/>
        </w:rPr>
        <w:lastRenderedPageBreak/>
        <w:t>de</w:t>
      </w:r>
      <w:r w:rsidR="00DB63B9">
        <w:rPr>
          <w:rFonts w:asciiTheme="minorHAnsi" w:hAnsiTheme="minorHAnsi" w:cstheme="minorHAnsi"/>
          <w:sz w:val="24"/>
        </w:rPr>
        <w:t xml:space="preserve">mandan las empresas y éstas los </w:t>
      </w:r>
      <w:r w:rsidRPr="005148D6">
        <w:rPr>
          <w:rFonts w:asciiTheme="minorHAnsi" w:hAnsiTheme="minorHAnsi" w:cstheme="minorHAnsi"/>
          <w:sz w:val="24"/>
        </w:rPr>
        <w:t>“devuelven o rechaza</w:t>
      </w:r>
      <w:r w:rsidR="00F34E5E">
        <w:rPr>
          <w:rFonts w:asciiTheme="minorHAnsi" w:hAnsiTheme="minorHAnsi" w:cstheme="minorHAnsi"/>
          <w:sz w:val="24"/>
        </w:rPr>
        <w:t>n</w:t>
      </w:r>
      <w:r w:rsidRPr="005148D6">
        <w:rPr>
          <w:rFonts w:asciiTheme="minorHAnsi" w:hAnsiTheme="minorHAnsi" w:cstheme="minorHAnsi"/>
          <w:sz w:val="24"/>
        </w:rPr>
        <w:t xml:space="preserve"> para su reciclaje o adaptación”, ha de mantenerse el actual modelo de relación, financiación y servicio. Buena pregunta. Es momento, de ocuparse más de las necesidades de las empresas pequeñas y medianas, llamadas locales y normales, y no de los “potenciales recursos globalizables” que demandan las top 10 mundiales, por ejemplo, que, en realidad, se nutren de recursos de cualquier lugar del mundo. Es también, momento de repensar el sistema de creación de valor y el rol que todos y cada uno de los actores en el sistema socio económico jugamos.</w:t>
      </w:r>
    </w:p>
    <w:p w:rsidR="00CA5749" w:rsidRPr="005148D6" w:rsidRDefault="00CA5749" w:rsidP="009F0873">
      <w:pPr>
        <w:pStyle w:val="Body1"/>
        <w:spacing w:after="0"/>
        <w:ind w:firstLine="284"/>
        <w:jc w:val="both"/>
        <w:rPr>
          <w:rFonts w:asciiTheme="minorHAnsi" w:hAnsiTheme="minorHAnsi" w:cstheme="minorHAnsi"/>
          <w:color w:val="auto"/>
          <w:sz w:val="24"/>
        </w:rPr>
      </w:pPr>
    </w:p>
    <w:p w:rsidR="00CB6CB3" w:rsidRDefault="00F220FA" w:rsidP="009F0873">
      <w:pPr>
        <w:spacing w:after="0"/>
        <w:ind w:firstLine="284"/>
        <w:jc w:val="both"/>
        <w:rPr>
          <w:rFonts w:cstheme="minorHAnsi"/>
          <w:sz w:val="24"/>
        </w:rPr>
      </w:pPr>
      <w:r w:rsidRPr="005148D6">
        <w:rPr>
          <w:rFonts w:cstheme="minorHAnsi"/>
          <w:sz w:val="24"/>
        </w:rPr>
        <w:t>Esta clusterización que ante todo supone contemplar de manera sistémica el conjunto de empresas y organizaciones soporte e interrelacionadas más allá de la óptica individualizada de cada empresa, focalizando la estrategia en espacios naturales concretos, ha de potenciar iniciativas generadoras de nuevos modelos de negocio y nuevas prioridades en la solución de las necesidades sociales,</w:t>
      </w:r>
      <w:r w:rsidR="00CA5749">
        <w:rPr>
          <w:rFonts w:cstheme="minorHAnsi"/>
          <w:sz w:val="24"/>
        </w:rPr>
        <w:t xml:space="preserve"> </w:t>
      </w:r>
      <w:r w:rsidRPr="005148D6">
        <w:rPr>
          <w:rFonts w:cstheme="minorHAnsi"/>
          <w:sz w:val="24"/>
        </w:rPr>
        <w:t>no como un ejercicio ni de filantropía ni de responsabilidad social corporativa para el reparto,</w:t>
      </w:r>
      <w:r w:rsidR="00CA5749">
        <w:rPr>
          <w:rFonts w:cstheme="minorHAnsi"/>
          <w:sz w:val="24"/>
        </w:rPr>
        <w:t xml:space="preserve"> sin ánimo de lucro, de </w:t>
      </w:r>
      <w:r w:rsidRPr="005148D6">
        <w:rPr>
          <w:rFonts w:cstheme="minorHAnsi"/>
          <w:sz w:val="24"/>
        </w:rPr>
        <w:t>los resultados y recursos con vistas corto placistas, sino como verdadero compromiso soporte de la competitividad y el bienestar.</w:t>
      </w:r>
    </w:p>
    <w:p w:rsidR="00CA5749" w:rsidRPr="005148D6" w:rsidRDefault="00CA5749" w:rsidP="009F0873">
      <w:pPr>
        <w:spacing w:after="0"/>
        <w:ind w:firstLine="284"/>
        <w:jc w:val="both"/>
        <w:rPr>
          <w:rFonts w:cstheme="minorHAnsi"/>
          <w:sz w:val="24"/>
        </w:rPr>
      </w:pPr>
    </w:p>
    <w:p w:rsidR="00CB6CB3" w:rsidRPr="005148D6" w:rsidRDefault="00F220FA" w:rsidP="009F0873">
      <w:pPr>
        <w:spacing w:after="0"/>
        <w:ind w:firstLine="284"/>
        <w:jc w:val="both"/>
        <w:rPr>
          <w:rFonts w:cstheme="minorHAnsi"/>
          <w:sz w:val="24"/>
        </w:rPr>
      </w:pPr>
      <w:r w:rsidRPr="005148D6">
        <w:rPr>
          <w:rFonts w:cstheme="minorHAnsi"/>
          <w:sz w:val="24"/>
        </w:rPr>
        <w:t>En este mismo marco, el cente</w:t>
      </w:r>
      <w:r w:rsidR="00CA5749">
        <w:rPr>
          <w:rFonts w:cstheme="minorHAnsi"/>
          <w:sz w:val="24"/>
        </w:rPr>
        <w:t>nar de miembros de la red MOC (</w:t>
      </w:r>
      <w:r w:rsidRPr="005148D6">
        <w:rPr>
          <w:rFonts w:cstheme="minorHAnsi"/>
          <w:sz w:val="24"/>
        </w:rPr>
        <w:t>Microeconomía de la competitividad) de m</w:t>
      </w:r>
      <w:r w:rsidR="00CA5749">
        <w:rPr>
          <w:rFonts w:cstheme="minorHAnsi"/>
          <w:sz w:val="24"/>
        </w:rPr>
        <w:t>á</w:t>
      </w:r>
      <w:r w:rsidRPr="005148D6">
        <w:rPr>
          <w:rFonts w:cstheme="minorHAnsi"/>
          <w:sz w:val="24"/>
        </w:rPr>
        <w:t>s de 80 instituciones de todo el mundo que nos reunimos en Harvard bajo el liderazgo de Michael Porter, hemos podido revitalizar nuestro trabajo de la mano de los impulsores mundiales de las nuevas corrie</w:t>
      </w:r>
      <w:r w:rsidR="00CA5749">
        <w:rPr>
          <w:rFonts w:cstheme="minorHAnsi"/>
          <w:sz w:val="24"/>
        </w:rPr>
        <w:t>ntes en torno al SHARED VALUE (Valor compartido empresa-</w:t>
      </w:r>
      <w:r w:rsidRPr="005148D6">
        <w:rPr>
          <w:rFonts w:cstheme="minorHAnsi"/>
          <w:sz w:val="24"/>
        </w:rPr>
        <w:t>Sociedad),</w:t>
      </w:r>
      <w:r w:rsidR="00CA5749">
        <w:rPr>
          <w:rFonts w:cstheme="minorHAnsi"/>
          <w:sz w:val="24"/>
        </w:rPr>
        <w:t xml:space="preserve"> </w:t>
      </w:r>
      <w:r w:rsidRPr="005148D6">
        <w:rPr>
          <w:rFonts w:cstheme="minorHAnsi"/>
          <w:sz w:val="24"/>
        </w:rPr>
        <w:t>complemento natu</w:t>
      </w:r>
      <w:r w:rsidR="00CA5749">
        <w:rPr>
          <w:rFonts w:cstheme="minorHAnsi"/>
          <w:sz w:val="24"/>
        </w:rPr>
        <w:t>ral del marco de competitividad</w:t>
      </w:r>
      <w:r w:rsidRPr="005148D6">
        <w:rPr>
          <w:rFonts w:cstheme="minorHAnsi"/>
          <w:sz w:val="24"/>
        </w:rPr>
        <w:t>,</w:t>
      </w:r>
      <w:r w:rsidR="00CA5749">
        <w:rPr>
          <w:rFonts w:cstheme="minorHAnsi"/>
          <w:sz w:val="24"/>
        </w:rPr>
        <w:t xml:space="preserve"> </w:t>
      </w:r>
      <w:r w:rsidRPr="005148D6">
        <w:rPr>
          <w:rFonts w:cstheme="minorHAnsi"/>
          <w:sz w:val="24"/>
        </w:rPr>
        <w:t>bienestar e inclusión que centra la verdadera obsesion y ansiedad de la economía.</w:t>
      </w:r>
      <w:r w:rsidR="00CA5749">
        <w:rPr>
          <w:rFonts w:cstheme="minorHAnsi"/>
          <w:sz w:val="24"/>
        </w:rPr>
        <w:t xml:space="preserve"> Así, los procesos de </w:t>
      </w:r>
      <w:proofErr w:type="spellStart"/>
      <w:r w:rsidR="00CA5749">
        <w:rPr>
          <w:rFonts w:cstheme="minorHAnsi"/>
          <w:sz w:val="24"/>
        </w:rPr>
        <w:t>co</w:t>
      </w:r>
      <w:proofErr w:type="spellEnd"/>
      <w:r w:rsidR="00CA5749">
        <w:rPr>
          <w:rFonts w:cstheme="minorHAnsi"/>
          <w:sz w:val="24"/>
        </w:rPr>
        <w:t>-</w:t>
      </w:r>
      <w:r w:rsidRPr="005148D6">
        <w:rPr>
          <w:rFonts w:cstheme="minorHAnsi"/>
          <w:sz w:val="24"/>
        </w:rPr>
        <w:t>creación de valor habrán de facilitar, en estos nuevos tiempos, la manera de repensar las oportunidades de rentabilizar las empresas, la creación de empleo y la mitigación de desigualdades bajo un mandato simple a la vez que ilusionante y complejo:</w:t>
      </w:r>
      <w:r w:rsidR="00CA5749">
        <w:rPr>
          <w:rFonts w:cstheme="minorHAnsi"/>
          <w:sz w:val="24"/>
        </w:rPr>
        <w:t xml:space="preserve"> “</w:t>
      </w:r>
      <w:r w:rsidRPr="005148D6">
        <w:rPr>
          <w:rFonts w:cstheme="minorHAnsi"/>
          <w:sz w:val="24"/>
        </w:rPr>
        <w:t>hacer de las demandas y nec</w:t>
      </w:r>
      <w:r w:rsidR="00CA5749">
        <w:rPr>
          <w:rFonts w:cstheme="minorHAnsi"/>
          <w:sz w:val="24"/>
        </w:rPr>
        <w:t xml:space="preserve">esidades de la gente, la fuente </w:t>
      </w:r>
      <w:r w:rsidRPr="005148D6">
        <w:rPr>
          <w:rFonts w:cstheme="minorHAnsi"/>
          <w:sz w:val="24"/>
        </w:rPr>
        <w:t xml:space="preserve">de </w:t>
      </w:r>
      <w:r w:rsidR="00CA5749">
        <w:rPr>
          <w:rFonts w:cstheme="minorHAnsi"/>
          <w:sz w:val="24"/>
        </w:rPr>
        <w:t>los</w:t>
      </w:r>
      <w:r w:rsidRPr="005148D6">
        <w:rPr>
          <w:rFonts w:cstheme="minorHAnsi"/>
          <w:sz w:val="24"/>
        </w:rPr>
        <w:t xml:space="preserve"> nuevos modelos de negocio de las empresas competitivas</w:t>
      </w:r>
      <w:r w:rsidR="00CA5749">
        <w:rPr>
          <w:rFonts w:cstheme="minorHAnsi"/>
          <w:sz w:val="24"/>
        </w:rPr>
        <w:t>”</w:t>
      </w:r>
      <w:r w:rsidRPr="005148D6">
        <w:rPr>
          <w:rFonts w:cstheme="minorHAnsi"/>
          <w:sz w:val="24"/>
        </w:rPr>
        <w:t>.</w:t>
      </w:r>
      <w:r w:rsidR="00CA5749">
        <w:rPr>
          <w:rFonts w:cstheme="minorHAnsi"/>
          <w:sz w:val="24"/>
        </w:rPr>
        <w:t xml:space="preserve"> </w:t>
      </w:r>
      <w:r w:rsidRPr="005148D6">
        <w:rPr>
          <w:rFonts w:cstheme="minorHAnsi"/>
          <w:sz w:val="24"/>
        </w:rPr>
        <w:t xml:space="preserve">Y, por supuesto, hoy, </w:t>
      </w:r>
      <w:r w:rsidR="00CF23D7">
        <w:rPr>
          <w:rFonts w:cstheme="minorHAnsi"/>
          <w:sz w:val="24"/>
        </w:rPr>
        <w:t xml:space="preserve">como </w:t>
      </w:r>
      <w:r w:rsidRPr="005148D6">
        <w:rPr>
          <w:rFonts w:cstheme="minorHAnsi"/>
          <w:sz w:val="24"/>
        </w:rPr>
        <w:t xml:space="preserve"> necesidad esencial</w:t>
      </w:r>
      <w:r w:rsidR="00CF23D7">
        <w:rPr>
          <w:rFonts w:cstheme="minorHAnsi"/>
          <w:sz w:val="24"/>
        </w:rPr>
        <w:t>,</w:t>
      </w:r>
      <w:r w:rsidRPr="005148D6">
        <w:rPr>
          <w:rFonts w:cstheme="minorHAnsi"/>
          <w:sz w:val="24"/>
        </w:rPr>
        <w:t xml:space="preserve"> el empleo.</w:t>
      </w:r>
    </w:p>
    <w:p w:rsidR="00CB6CB3" w:rsidRPr="005148D6" w:rsidRDefault="00CB6CB3" w:rsidP="009F0873">
      <w:pPr>
        <w:pStyle w:val="Body1"/>
        <w:spacing w:after="0"/>
        <w:ind w:firstLine="284"/>
        <w:jc w:val="both"/>
        <w:rPr>
          <w:rFonts w:asciiTheme="minorHAnsi" w:hAnsiTheme="minorHAnsi" w:cstheme="minorHAnsi"/>
          <w:color w:val="auto"/>
          <w:sz w:val="24"/>
        </w:rPr>
      </w:pPr>
    </w:p>
    <w:p w:rsidR="00CA5749" w:rsidRDefault="00F220FA" w:rsidP="009F0873">
      <w:pPr>
        <w:pStyle w:val="Textosinformato"/>
        <w:spacing w:line="276" w:lineRule="auto"/>
        <w:ind w:firstLine="284"/>
        <w:jc w:val="both"/>
        <w:rPr>
          <w:rFonts w:asciiTheme="minorHAnsi" w:hAnsiTheme="minorHAnsi" w:cstheme="minorHAnsi"/>
          <w:sz w:val="24"/>
        </w:rPr>
      </w:pPr>
      <w:r w:rsidRPr="005148D6">
        <w:rPr>
          <w:rFonts w:asciiTheme="minorHAnsi" w:hAnsiTheme="minorHAnsi" w:cstheme="minorHAnsi"/>
          <w:sz w:val="24"/>
        </w:rPr>
        <w:t xml:space="preserve">En definitiva, la buena nueva de la contención y reducción del desempleo en los Estados Unidos aparece en pleno debate, desde un movimiento de </w:t>
      </w:r>
      <w:r w:rsidRPr="00CF23D7">
        <w:rPr>
          <w:rFonts w:asciiTheme="minorHAnsi" w:hAnsiTheme="minorHAnsi" w:cstheme="minorHAnsi"/>
          <w:b/>
          <w:i/>
          <w:sz w:val="24"/>
        </w:rPr>
        <w:t>“ansiedad por el empleo”</w:t>
      </w:r>
      <w:r w:rsidRPr="005148D6">
        <w:rPr>
          <w:rFonts w:asciiTheme="minorHAnsi" w:hAnsiTheme="minorHAnsi" w:cstheme="minorHAnsi"/>
          <w:sz w:val="24"/>
        </w:rPr>
        <w:t xml:space="preserve"> </w:t>
      </w:r>
      <w:r w:rsidR="00CF23D7">
        <w:rPr>
          <w:rFonts w:asciiTheme="minorHAnsi" w:hAnsiTheme="minorHAnsi" w:cstheme="minorHAnsi"/>
          <w:sz w:val="24"/>
        </w:rPr>
        <w:t xml:space="preserve">para </w:t>
      </w:r>
      <w:r w:rsidRPr="005148D6">
        <w:rPr>
          <w:rFonts w:asciiTheme="minorHAnsi" w:hAnsiTheme="minorHAnsi" w:cstheme="minorHAnsi"/>
          <w:sz w:val="24"/>
        </w:rPr>
        <w:t xml:space="preserve"> la búsqueda de una economía y sociedad prósperas, en contraposición a</w:t>
      </w:r>
      <w:r w:rsidR="00CA5749">
        <w:rPr>
          <w:rFonts w:asciiTheme="minorHAnsi" w:hAnsiTheme="minorHAnsi" w:cstheme="minorHAnsi"/>
          <w:sz w:val="24"/>
        </w:rPr>
        <w:t xml:space="preserve"> </w:t>
      </w:r>
      <w:r w:rsidR="00826F1A">
        <w:rPr>
          <w:rFonts w:asciiTheme="minorHAnsi" w:hAnsiTheme="minorHAnsi" w:cstheme="minorHAnsi"/>
          <w:b/>
          <w:i/>
          <w:sz w:val="24"/>
        </w:rPr>
        <w:t xml:space="preserve">“la economía </w:t>
      </w:r>
      <w:r w:rsidR="00CF23D7" w:rsidRPr="00CF23D7">
        <w:rPr>
          <w:rFonts w:asciiTheme="minorHAnsi" w:hAnsiTheme="minorHAnsi" w:cstheme="minorHAnsi"/>
          <w:b/>
          <w:i/>
          <w:sz w:val="24"/>
        </w:rPr>
        <w:t>de la obsesión</w:t>
      </w:r>
      <w:r w:rsidR="00CF23D7">
        <w:rPr>
          <w:rFonts w:asciiTheme="minorHAnsi" w:hAnsiTheme="minorHAnsi" w:cstheme="minorHAnsi"/>
          <w:sz w:val="24"/>
        </w:rPr>
        <w:t>” centrada en exclusiva en la componente macroeconómica,</w:t>
      </w:r>
      <w:r w:rsidRPr="005148D6">
        <w:rPr>
          <w:rFonts w:asciiTheme="minorHAnsi" w:hAnsiTheme="minorHAnsi" w:cstheme="minorHAnsi"/>
          <w:sz w:val="24"/>
        </w:rPr>
        <w:t xml:space="preserve"> </w:t>
      </w:r>
      <w:r w:rsidR="00CF23D7">
        <w:rPr>
          <w:rFonts w:asciiTheme="minorHAnsi" w:hAnsiTheme="minorHAnsi" w:cstheme="minorHAnsi"/>
          <w:sz w:val="24"/>
        </w:rPr>
        <w:t>bajo la firme e inamovible</w:t>
      </w:r>
      <w:r w:rsidRPr="005148D6">
        <w:rPr>
          <w:rFonts w:asciiTheme="minorHAnsi" w:hAnsiTheme="minorHAnsi" w:cstheme="minorHAnsi"/>
          <w:sz w:val="24"/>
        </w:rPr>
        <w:t xml:space="preserve"> dirección instalada, cuyos resultados no parecen convencer a nadie, m</w:t>
      </w:r>
      <w:r w:rsidR="00CA5749">
        <w:rPr>
          <w:rFonts w:asciiTheme="minorHAnsi" w:hAnsiTheme="minorHAnsi" w:cstheme="minorHAnsi"/>
          <w:sz w:val="24"/>
        </w:rPr>
        <w:t>a</w:t>
      </w:r>
      <w:r w:rsidRPr="005148D6">
        <w:rPr>
          <w:rFonts w:asciiTheme="minorHAnsi" w:hAnsiTheme="minorHAnsi" w:cstheme="minorHAnsi"/>
          <w:sz w:val="24"/>
        </w:rPr>
        <w:t xml:space="preserve">s allá de </w:t>
      </w:r>
      <w:r w:rsidR="00CF23D7">
        <w:rPr>
          <w:rFonts w:asciiTheme="minorHAnsi" w:hAnsiTheme="minorHAnsi" w:cstheme="minorHAnsi"/>
          <w:sz w:val="24"/>
        </w:rPr>
        <w:t>promesas de un futuro no preciso que no ofrece sino volver al pasado.</w:t>
      </w:r>
    </w:p>
    <w:p w:rsidR="00826F1A" w:rsidRPr="005148D6" w:rsidRDefault="00826F1A" w:rsidP="009F0873">
      <w:pPr>
        <w:pStyle w:val="Textosinformato"/>
        <w:spacing w:line="276" w:lineRule="auto"/>
        <w:ind w:firstLine="284"/>
        <w:jc w:val="both"/>
        <w:rPr>
          <w:rFonts w:asciiTheme="minorHAnsi" w:hAnsiTheme="minorHAnsi" w:cstheme="minorHAnsi"/>
          <w:sz w:val="24"/>
        </w:rPr>
      </w:pPr>
    </w:p>
    <w:p w:rsidR="00CA5749" w:rsidRPr="009F0873" w:rsidRDefault="00CA5749" w:rsidP="009F0873">
      <w:pPr>
        <w:ind w:firstLine="284"/>
        <w:jc w:val="both"/>
        <w:rPr>
          <w:sz w:val="24"/>
          <w:szCs w:val="24"/>
        </w:rPr>
      </w:pPr>
      <w:r>
        <w:rPr>
          <w:rFonts w:cstheme="minorHAnsi"/>
          <w:sz w:val="24"/>
        </w:rPr>
        <w:t xml:space="preserve">Debate que, en </w:t>
      </w:r>
      <w:r w:rsidR="00F220FA" w:rsidRPr="005148D6">
        <w:rPr>
          <w:rFonts w:cstheme="minorHAnsi"/>
          <w:sz w:val="24"/>
        </w:rPr>
        <w:t>una cierta traslación al Estado español,</w:t>
      </w:r>
      <w:r>
        <w:rPr>
          <w:rFonts w:cstheme="minorHAnsi"/>
          <w:sz w:val="24"/>
        </w:rPr>
        <w:t xml:space="preserve"> merecería </w:t>
      </w:r>
      <w:r w:rsidR="00F220FA" w:rsidRPr="005148D6">
        <w:rPr>
          <w:rFonts w:cstheme="minorHAnsi"/>
          <w:sz w:val="24"/>
        </w:rPr>
        <w:t>l</w:t>
      </w:r>
      <w:r>
        <w:rPr>
          <w:rFonts w:cstheme="minorHAnsi"/>
          <w:sz w:val="24"/>
        </w:rPr>
        <w:t>a</w:t>
      </w:r>
      <w:r w:rsidR="00F220FA" w:rsidRPr="005148D6">
        <w:rPr>
          <w:rFonts w:cstheme="minorHAnsi"/>
          <w:sz w:val="24"/>
        </w:rPr>
        <w:t xml:space="preserve"> pena considerar. Si los últimos pronósticos del FMI y la OCDE no permiten esperar reducir </w:t>
      </w:r>
      <w:r w:rsidR="00F220FA" w:rsidRPr="005148D6">
        <w:rPr>
          <w:rFonts w:cstheme="minorHAnsi"/>
          <w:sz w:val="24"/>
        </w:rPr>
        <w:lastRenderedPageBreak/>
        <w:t>tasas de desempleo po</w:t>
      </w:r>
      <w:r>
        <w:rPr>
          <w:rFonts w:cstheme="minorHAnsi"/>
          <w:sz w:val="24"/>
        </w:rPr>
        <w:t>r debajo del 26% antes del 2018</w:t>
      </w:r>
      <w:r w:rsidR="00F220FA" w:rsidRPr="005148D6">
        <w:rPr>
          <w:rFonts w:cstheme="minorHAnsi"/>
          <w:sz w:val="24"/>
        </w:rPr>
        <w:t>,</w:t>
      </w:r>
      <w:r>
        <w:rPr>
          <w:rFonts w:cstheme="minorHAnsi"/>
          <w:sz w:val="24"/>
        </w:rPr>
        <w:t xml:space="preserve"> </w:t>
      </w:r>
      <w:r w:rsidR="00F220FA" w:rsidRPr="005148D6">
        <w:rPr>
          <w:rFonts w:cstheme="minorHAnsi"/>
          <w:sz w:val="24"/>
        </w:rPr>
        <w:t xml:space="preserve">o del 2033 según la proyección </w:t>
      </w:r>
      <w:r>
        <w:rPr>
          <w:rFonts w:cstheme="minorHAnsi"/>
          <w:sz w:val="24"/>
        </w:rPr>
        <w:t xml:space="preserve">de escenarios a largo plazo que </w:t>
      </w:r>
      <w:r w:rsidR="00F220FA" w:rsidRPr="005148D6">
        <w:rPr>
          <w:rFonts w:cstheme="minorHAnsi"/>
          <w:sz w:val="24"/>
        </w:rPr>
        <w:t xml:space="preserve">PWC ofrece como el horizonte de inflexión </w:t>
      </w:r>
      <w:r w:rsidR="00CF23D7">
        <w:rPr>
          <w:rFonts w:cstheme="minorHAnsi"/>
          <w:sz w:val="24"/>
        </w:rPr>
        <w:t xml:space="preserve">para la esperanza del empleo, </w:t>
      </w:r>
      <w:r w:rsidR="00F220FA" w:rsidRPr="005148D6">
        <w:rPr>
          <w:rFonts w:cstheme="minorHAnsi"/>
          <w:sz w:val="24"/>
        </w:rPr>
        <w:t>salvo que la Sociedad reaccione y se genere una  innovadora estrategia de transformación, bajo nuevos e inevitables paradigmas,</w:t>
      </w:r>
      <w:r>
        <w:rPr>
          <w:rFonts w:cstheme="minorHAnsi"/>
          <w:sz w:val="24"/>
        </w:rPr>
        <w:t xml:space="preserve"> </w:t>
      </w:r>
      <w:r w:rsidR="00F220FA" w:rsidRPr="005148D6">
        <w:rPr>
          <w:rFonts w:cstheme="minorHAnsi"/>
          <w:sz w:val="24"/>
        </w:rPr>
        <w:t xml:space="preserve">no parece ni tolerable ni responsable dejar en manos ni del azar ni de la evolución espontánea el cambio de tendencias y políticas. Es, si bien </w:t>
      </w:r>
      <w:r w:rsidR="00F220FA" w:rsidRPr="009F0873">
        <w:rPr>
          <w:sz w:val="24"/>
          <w:szCs w:val="24"/>
        </w:rPr>
        <w:t>un tanto tarde,</w:t>
      </w:r>
      <w:r w:rsidRPr="009F0873">
        <w:rPr>
          <w:sz w:val="24"/>
          <w:szCs w:val="24"/>
        </w:rPr>
        <w:t xml:space="preserve"> </w:t>
      </w:r>
      <w:r w:rsidR="00F220FA" w:rsidRPr="009F0873">
        <w:rPr>
          <w:sz w:val="24"/>
          <w:szCs w:val="24"/>
        </w:rPr>
        <w:t xml:space="preserve">momento de abandonar la </w:t>
      </w:r>
      <w:r w:rsidRPr="009F0873">
        <w:rPr>
          <w:sz w:val="24"/>
          <w:szCs w:val="24"/>
        </w:rPr>
        <w:t>obsesión</w:t>
      </w:r>
      <w:r w:rsidR="00F220FA" w:rsidRPr="009F0873">
        <w:rPr>
          <w:sz w:val="24"/>
          <w:szCs w:val="24"/>
        </w:rPr>
        <w:t xml:space="preserve"> macroeconómica que nos agobia.</w:t>
      </w:r>
      <w:r w:rsidRPr="009F0873">
        <w:rPr>
          <w:sz w:val="24"/>
          <w:szCs w:val="24"/>
        </w:rPr>
        <w:t xml:space="preserve"> </w:t>
      </w:r>
    </w:p>
    <w:p w:rsidR="00CB6CB3" w:rsidRPr="009F0873" w:rsidRDefault="00CF23D7" w:rsidP="009F0873">
      <w:pPr>
        <w:ind w:firstLine="284"/>
        <w:jc w:val="both"/>
        <w:rPr>
          <w:rFonts w:cstheme="minorHAnsi"/>
          <w:sz w:val="24"/>
          <w:szCs w:val="24"/>
        </w:rPr>
      </w:pPr>
      <w:r>
        <w:rPr>
          <w:rFonts w:cstheme="minorHAnsi"/>
          <w:sz w:val="24"/>
          <w:szCs w:val="24"/>
        </w:rPr>
        <w:t>Pero, p</w:t>
      </w:r>
      <w:r w:rsidR="00F220FA" w:rsidRPr="009F0873">
        <w:rPr>
          <w:rFonts w:cstheme="minorHAnsi"/>
          <w:sz w:val="24"/>
          <w:szCs w:val="24"/>
        </w:rPr>
        <w:t xml:space="preserve">or supuesto, hoy y aquí, hablamos de Estados Unidos </w:t>
      </w:r>
      <w:r>
        <w:rPr>
          <w:rFonts w:cstheme="minorHAnsi"/>
          <w:sz w:val="24"/>
          <w:szCs w:val="24"/>
        </w:rPr>
        <w:t>y</w:t>
      </w:r>
      <w:r w:rsidR="003E48D5">
        <w:rPr>
          <w:rFonts w:cstheme="minorHAnsi"/>
          <w:sz w:val="24"/>
          <w:szCs w:val="24"/>
        </w:rPr>
        <w:t xml:space="preserve"> las estimaciones y pronóstico largo </w:t>
      </w:r>
      <w:proofErr w:type="spellStart"/>
      <w:r w:rsidR="003E48D5">
        <w:rPr>
          <w:rFonts w:cstheme="minorHAnsi"/>
          <w:sz w:val="24"/>
          <w:szCs w:val="24"/>
        </w:rPr>
        <w:t>placistas</w:t>
      </w:r>
      <w:proofErr w:type="spellEnd"/>
      <w:r w:rsidR="003E48D5">
        <w:rPr>
          <w:rFonts w:cstheme="minorHAnsi"/>
          <w:sz w:val="24"/>
          <w:szCs w:val="24"/>
        </w:rPr>
        <w:t xml:space="preserve"> </w:t>
      </w:r>
      <w:r w:rsidR="00F220FA" w:rsidRPr="009F0873">
        <w:rPr>
          <w:rFonts w:cstheme="minorHAnsi"/>
          <w:sz w:val="24"/>
          <w:szCs w:val="24"/>
        </w:rPr>
        <w:t>quedan muy lejos.</w:t>
      </w:r>
      <w:r w:rsidR="00826F1A">
        <w:rPr>
          <w:rFonts w:cstheme="minorHAnsi"/>
          <w:sz w:val="24"/>
          <w:szCs w:val="24"/>
        </w:rPr>
        <w:t xml:space="preserve"> </w:t>
      </w:r>
      <w:r>
        <w:rPr>
          <w:rFonts w:cstheme="minorHAnsi"/>
          <w:sz w:val="24"/>
          <w:szCs w:val="24"/>
        </w:rPr>
        <w:t>Afortunadamente, aire</w:t>
      </w:r>
      <w:r w:rsidR="003E48D5">
        <w:rPr>
          <w:rFonts w:cstheme="minorHAnsi"/>
          <w:sz w:val="24"/>
          <w:szCs w:val="24"/>
        </w:rPr>
        <w:t xml:space="preserve"> fresco, un nuevo  pensamiento </w:t>
      </w:r>
      <w:r w:rsidR="009D393E">
        <w:rPr>
          <w:rFonts w:cstheme="minorHAnsi"/>
          <w:sz w:val="24"/>
          <w:szCs w:val="24"/>
        </w:rPr>
        <w:t xml:space="preserve">y </w:t>
      </w:r>
      <w:r>
        <w:rPr>
          <w:rFonts w:cstheme="minorHAnsi"/>
          <w:sz w:val="24"/>
          <w:szCs w:val="24"/>
        </w:rPr>
        <w:t xml:space="preserve"> nuevos pasos parecen abrir camino hacia un f</w:t>
      </w:r>
      <w:r w:rsidR="003E48D5">
        <w:rPr>
          <w:rFonts w:cstheme="minorHAnsi"/>
          <w:sz w:val="24"/>
          <w:szCs w:val="24"/>
        </w:rPr>
        <w:t xml:space="preserve">uturo que ha de resistirse a un </w:t>
      </w:r>
      <w:r>
        <w:rPr>
          <w:rFonts w:cstheme="minorHAnsi"/>
          <w:sz w:val="24"/>
          <w:szCs w:val="24"/>
        </w:rPr>
        <w:t>escenario indeseable e insostenible.</w:t>
      </w:r>
    </w:p>
    <w:p w:rsidR="00CB6CB3" w:rsidRPr="009F0873" w:rsidRDefault="00F220FA" w:rsidP="009F0873">
      <w:pPr>
        <w:ind w:firstLine="284"/>
        <w:jc w:val="both"/>
        <w:rPr>
          <w:rFonts w:cstheme="minorHAnsi"/>
          <w:sz w:val="24"/>
          <w:szCs w:val="24"/>
        </w:rPr>
      </w:pPr>
      <w:r w:rsidRPr="009F0873">
        <w:rPr>
          <w:rFonts w:cstheme="minorHAnsi"/>
          <w:sz w:val="24"/>
          <w:szCs w:val="24"/>
        </w:rPr>
        <w:t>En todo caso, Empleo, empleo, empleo...</w:t>
      </w:r>
    </w:p>
    <w:p w:rsidR="009F0873" w:rsidRPr="009F0873" w:rsidRDefault="009F0873">
      <w:pPr>
        <w:rPr>
          <w:rFonts w:cstheme="minorHAnsi"/>
          <w:sz w:val="24"/>
          <w:szCs w:val="24"/>
        </w:rPr>
      </w:pPr>
    </w:p>
    <w:sectPr w:rsidR="009F0873" w:rsidRPr="009F0873">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85" w:rsidRDefault="00295985" w:rsidP="00F91322">
      <w:pPr>
        <w:spacing w:after="0" w:line="240" w:lineRule="auto"/>
      </w:pPr>
      <w:r>
        <w:separator/>
      </w:r>
    </w:p>
  </w:endnote>
  <w:endnote w:type="continuationSeparator" w:id="0">
    <w:p w:rsidR="00295985" w:rsidRDefault="00295985"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DB63B9">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85" w:rsidRDefault="00295985" w:rsidP="00F91322">
      <w:pPr>
        <w:spacing w:after="0" w:line="240" w:lineRule="auto"/>
      </w:pPr>
      <w:r>
        <w:separator/>
      </w:r>
    </w:p>
  </w:footnote>
  <w:footnote w:type="continuationSeparator" w:id="0">
    <w:p w:rsidR="00295985" w:rsidRDefault="00295985"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CC9"/>
    <w:multiLevelType w:val="hybridMultilevel"/>
    <w:tmpl w:val="92F423A2"/>
    <w:lvl w:ilvl="0" w:tplc="B442CB94">
      <w:start w:val="1"/>
      <w:numFmt w:val="decimal"/>
      <w:lvlText w:val="%1)"/>
      <w:lvlJc w:val="left"/>
      <w:pPr>
        <w:ind w:left="644" w:hanging="360"/>
      </w:pPr>
      <w:rPr>
        <w:b/>
      </w:rPr>
    </w:lvl>
    <w:lvl w:ilvl="1" w:tplc="9C1C61E6">
      <w:start w:val="1"/>
      <w:numFmt w:val="lowerLetter"/>
      <w:lvlText w:val="%2."/>
      <w:lvlJc w:val="left"/>
      <w:pPr>
        <w:ind w:left="1364" w:hanging="360"/>
      </w:pPr>
    </w:lvl>
    <w:lvl w:ilvl="2" w:tplc="25C09696">
      <w:start w:val="1"/>
      <w:numFmt w:val="lowerRoman"/>
      <w:lvlText w:val="%3."/>
      <w:lvlJc w:val="right"/>
      <w:pPr>
        <w:ind w:left="2084" w:hanging="180"/>
      </w:pPr>
    </w:lvl>
    <w:lvl w:ilvl="3" w:tplc="5E30C900">
      <w:start w:val="1"/>
      <w:numFmt w:val="decimal"/>
      <w:lvlText w:val="%4."/>
      <w:lvlJc w:val="left"/>
      <w:pPr>
        <w:ind w:left="2804" w:hanging="360"/>
      </w:pPr>
    </w:lvl>
    <w:lvl w:ilvl="4" w:tplc="B8A8AD48">
      <w:start w:val="1"/>
      <w:numFmt w:val="lowerLetter"/>
      <w:lvlText w:val="%5."/>
      <w:lvlJc w:val="left"/>
      <w:pPr>
        <w:ind w:left="3524" w:hanging="360"/>
      </w:pPr>
    </w:lvl>
    <w:lvl w:ilvl="5" w:tplc="48705460">
      <w:start w:val="1"/>
      <w:numFmt w:val="lowerRoman"/>
      <w:lvlText w:val="%6."/>
      <w:lvlJc w:val="right"/>
      <w:pPr>
        <w:ind w:left="4244" w:hanging="180"/>
      </w:pPr>
    </w:lvl>
    <w:lvl w:ilvl="6" w:tplc="48EE63F6">
      <w:start w:val="1"/>
      <w:numFmt w:val="decimal"/>
      <w:lvlText w:val="%7."/>
      <w:lvlJc w:val="left"/>
      <w:pPr>
        <w:ind w:left="4964" w:hanging="360"/>
      </w:pPr>
    </w:lvl>
    <w:lvl w:ilvl="7" w:tplc="2F74ED56">
      <w:start w:val="1"/>
      <w:numFmt w:val="lowerLetter"/>
      <w:lvlText w:val="%8."/>
      <w:lvlJc w:val="left"/>
      <w:pPr>
        <w:ind w:left="5684" w:hanging="360"/>
      </w:pPr>
    </w:lvl>
    <w:lvl w:ilvl="8" w:tplc="9CE81CEE">
      <w:start w:val="1"/>
      <w:numFmt w:val="lowerRoman"/>
      <w:lvlText w:val="%9."/>
      <w:lvlJc w:val="right"/>
      <w:pPr>
        <w:ind w:left="6404" w:hanging="180"/>
      </w:pPr>
    </w:lvl>
  </w:abstractNum>
  <w:abstractNum w:abstractNumId="1">
    <w:nsid w:val="0FAD1ED9"/>
    <w:multiLevelType w:val="hybridMultilevel"/>
    <w:tmpl w:val="3D509046"/>
    <w:lvl w:ilvl="0" w:tplc="14381590">
      <w:start w:val="1"/>
      <w:numFmt w:val="decimal"/>
      <w:lvlText w:val="%1."/>
      <w:lvlJc w:val="left"/>
      <w:pPr>
        <w:ind w:left="720" w:hanging="360"/>
      </w:pPr>
    </w:lvl>
    <w:lvl w:ilvl="1" w:tplc="8FD0ACA8">
      <w:start w:val="1"/>
      <w:numFmt w:val="lowerLetter"/>
      <w:lvlText w:val="%2."/>
      <w:lvlJc w:val="left"/>
      <w:pPr>
        <w:ind w:left="1440" w:hanging="360"/>
      </w:pPr>
    </w:lvl>
    <w:lvl w:ilvl="2" w:tplc="333AAE4A">
      <w:start w:val="1"/>
      <w:numFmt w:val="lowerRoman"/>
      <w:lvlText w:val="%3."/>
      <w:lvlJc w:val="right"/>
      <w:pPr>
        <w:ind w:left="2160" w:hanging="180"/>
      </w:pPr>
    </w:lvl>
    <w:lvl w:ilvl="3" w:tplc="DDA6B23C">
      <w:start w:val="1"/>
      <w:numFmt w:val="decimal"/>
      <w:lvlText w:val="%4."/>
      <w:lvlJc w:val="left"/>
      <w:pPr>
        <w:ind w:left="2880" w:hanging="360"/>
      </w:pPr>
    </w:lvl>
    <w:lvl w:ilvl="4" w:tplc="26B2D510">
      <w:start w:val="1"/>
      <w:numFmt w:val="lowerLetter"/>
      <w:lvlText w:val="%5."/>
      <w:lvlJc w:val="left"/>
      <w:pPr>
        <w:ind w:left="3600" w:hanging="360"/>
      </w:pPr>
    </w:lvl>
    <w:lvl w:ilvl="5" w:tplc="477A7664">
      <w:start w:val="1"/>
      <w:numFmt w:val="lowerRoman"/>
      <w:lvlText w:val="%6."/>
      <w:lvlJc w:val="right"/>
      <w:pPr>
        <w:ind w:left="4320" w:hanging="180"/>
      </w:pPr>
    </w:lvl>
    <w:lvl w:ilvl="6" w:tplc="7FD0B6C4">
      <w:start w:val="1"/>
      <w:numFmt w:val="decimal"/>
      <w:lvlText w:val="%7."/>
      <w:lvlJc w:val="left"/>
      <w:pPr>
        <w:ind w:left="5040" w:hanging="360"/>
      </w:pPr>
    </w:lvl>
    <w:lvl w:ilvl="7" w:tplc="241EE712">
      <w:start w:val="1"/>
      <w:numFmt w:val="lowerLetter"/>
      <w:lvlText w:val="%8."/>
      <w:lvlJc w:val="left"/>
      <w:pPr>
        <w:ind w:left="5760" w:hanging="360"/>
      </w:pPr>
    </w:lvl>
    <w:lvl w:ilvl="8" w:tplc="5ECC3B0A">
      <w:start w:val="1"/>
      <w:numFmt w:val="lowerRoman"/>
      <w:lvlText w:val="%9."/>
      <w:lvlJc w:val="right"/>
      <w:pPr>
        <w:ind w:left="6480" w:hanging="180"/>
      </w:pPr>
    </w:lvl>
  </w:abstractNum>
  <w:abstractNum w:abstractNumId="2">
    <w:nsid w:val="23DE38BE"/>
    <w:multiLevelType w:val="hybridMultilevel"/>
    <w:tmpl w:val="B394D982"/>
    <w:lvl w:ilvl="0" w:tplc="F1B08426">
      <w:start w:val="1"/>
      <w:numFmt w:val="decimal"/>
      <w:lvlText w:val="%1)"/>
      <w:lvlJc w:val="left"/>
      <w:pPr>
        <w:ind w:left="644" w:hanging="360"/>
      </w:pPr>
    </w:lvl>
    <w:lvl w:ilvl="1" w:tplc="2BA23E50">
      <w:start w:val="1"/>
      <w:numFmt w:val="lowerLetter"/>
      <w:lvlText w:val="%2."/>
      <w:lvlJc w:val="left"/>
      <w:pPr>
        <w:ind w:left="1364" w:hanging="360"/>
      </w:pPr>
    </w:lvl>
    <w:lvl w:ilvl="2" w:tplc="D0C47448">
      <w:start w:val="1"/>
      <w:numFmt w:val="lowerRoman"/>
      <w:lvlText w:val="%3."/>
      <w:lvlJc w:val="right"/>
      <w:pPr>
        <w:ind w:left="2084" w:hanging="180"/>
      </w:pPr>
    </w:lvl>
    <w:lvl w:ilvl="3" w:tplc="529E0286">
      <w:start w:val="1"/>
      <w:numFmt w:val="decimal"/>
      <w:lvlText w:val="%4."/>
      <w:lvlJc w:val="left"/>
      <w:pPr>
        <w:ind w:left="2804" w:hanging="360"/>
      </w:pPr>
    </w:lvl>
    <w:lvl w:ilvl="4" w:tplc="230250E8">
      <w:start w:val="1"/>
      <w:numFmt w:val="lowerLetter"/>
      <w:lvlText w:val="%5."/>
      <w:lvlJc w:val="left"/>
      <w:pPr>
        <w:ind w:left="3524" w:hanging="360"/>
      </w:pPr>
    </w:lvl>
    <w:lvl w:ilvl="5" w:tplc="417231B2">
      <w:start w:val="1"/>
      <w:numFmt w:val="lowerRoman"/>
      <w:lvlText w:val="%6."/>
      <w:lvlJc w:val="right"/>
      <w:pPr>
        <w:ind w:left="4244" w:hanging="180"/>
      </w:pPr>
    </w:lvl>
    <w:lvl w:ilvl="6" w:tplc="E68C0588">
      <w:start w:val="1"/>
      <w:numFmt w:val="decimal"/>
      <w:lvlText w:val="%7."/>
      <w:lvlJc w:val="left"/>
      <w:pPr>
        <w:ind w:left="4964" w:hanging="360"/>
      </w:pPr>
    </w:lvl>
    <w:lvl w:ilvl="7" w:tplc="74AE9C2E">
      <w:start w:val="1"/>
      <w:numFmt w:val="lowerLetter"/>
      <w:lvlText w:val="%8."/>
      <w:lvlJc w:val="left"/>
      <w:pPr>
        <w:ind w:left="5684" w:hanging="360"/>
      </w:pPr>
    </w:lvl>
    <w:lvl w:ilvl="8" w:tplc="104A643E">
      <w:start w:val="1"/>
      <w:numFmt w:val="lowerRoman"/>
      <w:lvlText w:val="%9."/>
      <w:lvlJc w:val="right"/>
      <w:pPr>
        <w:ind w:left="6404" w:hanging="180"/>
      </w:pPr>
    </w:lvl>
  </w:abstractNum>
  <w:abstractNum w:abstractNumId="3">
    <w:nsid w:val="2FAA5317"/>
    <w:multiLevelType w:val="hybridMultilevel"/>
    <w:tmpl w:val="F828BFBC"/>
    <w:lvl w:ilvl="0" w:tplc="D492A24C">
      <w:start w:val="1"/>
      <w:numFmt w:val="decimal"/>
      <w:lvlText w:val="%1)"/>
      <w:lvlJc w:val="left"/>
      <w:pPr>
        <w:ind w:left="1004" w:hanging="360"/>
      </w:pPr>
    </w:lvl>
    <w:lvl w:ilvl="1" w:tplc="CCE4F0F8">
      <w:start w:val="1"/>
      <w:numFmt w:val="lowerLetter"/>
      <w:lvlText w:val="%2."/>
      <w:lvlJc w:val="left"/>
      <w:pPr>
        <w:ind w:left="1724" w:hanging="360"/>
      </w:pPr>
    </w:lvl>
    <w:lvl w:ilvl="2" w:tplc="047E9866">
      <w:start w:val="1"/>
      <w:numFmt w:val="lowerRoman"/>
      <w:lvlText w:val="%3."/>
      <w:lvlJc w:val="right"/>
      <w:pPr>
        <w:ind w:left="2444" w:hanging="180"/>
      </w:pPr>
    </w:lvl>
    <w:lvl w:ilvl="3" w:tplc="EA2C5218">
      <w:start w:val="1"/>
      <w:numFmt w:val="decimal"/>
      <w:lvlText w:val="%4."/>
      <w:lvlJc w:val="left"/>
      <w:pPr>
        <w:ind w:left="3164" w:hanging="360"/>
      </w:pPr>
    </w:lvl>
    <w:lvl w:ilvl="4" w:tplc="CAF6EE0C">
      <w:start w:val="1"/>
      <w:numFmt w:val="lowerLetter"/>
      <w:lvlText w:val="%5."/>
      <w:lvlJc w:val="left"/>
      <w:pPr>
        <w:ind w:left="3884" w:hanging="360"/>
      </w:pPr>
    </w:lvl>
    <w:lvl w:ilvl="5" w:tplc="C24A18B6">
      <w:start w:val="1"/>
      <w:numFmt w:val="lowerRoman"/>
      <w:lvlText w:val="%6."/>
      <w:lvlJc w:val="right"/>
      <w:pPr>
        <w:ind w:left="4604" w:hanging="180"/>
      </w:pPr>
    </w:lvl>
    <w:lvl w:ilvl="6" w:tplc="5084619E">
      <w:start w:val="1"/>
      <w:numFmt w:val="decimal"/>
      <w:lvlText w:val="%7."/>
      <w:lvlJc w:val="left"/>
      <w:pPr>
        <w:ind w:left="5324" w:hanging="360"/>
      </w:pPr>
    </w:lvl>
    <w:lvl w:ilvl="7" w:tplc="4AECBBD8">
      <w:start w:val="1"/>
      <w:numFmt w:val="lowerLetter"/>
      <w:lvlText w:val="%8."/>
      <w:lvlJc w:val="left"/>
      <w:pPr>
        <w:ind w:left="6044" w:hanging="360"/>
      </w:pPr>
    </w:lvl>
    <w:lvl w:ilvl="8" w:tplc="D0EC9546">
      <w:start w:val="1"/>
      <w:numFmt w:val="lowerRoman"/>
      <w:lvlText w:val="%9."/>
      <w:lvlJc w:val="right"/>
      <w:pPr>
        <w:ind w:left="676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17E30"/>
    <w:rsid w:val="0003296F"/>
    <w:rsid w:val="00034258"/>
    <w:rsid w:val="00042D6D"/>
    <w:rsid w:val="00043045"/>
    <w:rsid w:val="000430C8"/>
    <w:rsid w:val="00051A62"/>
    <w:rsid w:val="000530B7"/>
    <w:rsid w:val="00053355"/>
    <w:rsid w:val="0005479B"/>
    <w:rsid w:val="00065E96"/>
    <w:rsid w:val="000667C4"/>
    <w:rsid w:val="00070575"/>
    <w:rsid w:val="000718EB"/>
    <w:rsid w:val="00077BFD"/>
    <w:rsid w:val="00083249"/>
    <w:rsid w:val="000851D9"/>
    <w:rsid w:val="000857CF"/>
    <w:rsid w:val="000857E3"/>
    <w:rsid w:val="000A7BC8"/>
    <w:rsid w:val="000B2D7A"/>
    <w:rsid w:val="000D5377"/>
    <w:rsid w:val="000E41E6"/>
    <w:rsid w:val="000E7315"/>
    <w:rsid w:val="000F19EF"/>
    <w:rsid w:val="000F3446"/>
    <w:rsid w:val="000F665B"/>
    <w:rsid w:val="00102527"/>
    <w:rsid w:val="00106941"/>
    <w:rsid w:val="001109E4"/>
    <w:rsid w:val="00113BC1"/>
    <w:rsid w:val="00113C75"/>
    <w:rsid w:val="00114F36"/>
    <w:rsid w:val="0011562C"/>
    <w:rsid w:val="00116584"/>
    <w:rsid w:val="001244B4"/>
    <w:rsid w:val="00125422"/>
    <w:rsid w:val="001262F0"/>
    <w:rsid w:val="00130A39"/>
    <w:rsid w:val="0013295A"/>
    <w:rsid w:val="001364BB"/>
    <w:rsid w:val="00142EC1"/>
    <w:rsid w:val="001501BB"/>
    <w:rsid w:val="001513D7"/>
    <w:rsid w:val="00163868"/>
    <w:rsid w:val="0017029F"/>
    <w:rsid w:val="00181E89"/>
    <w:rsid w:val="00185F55"/>
    <w:rsid w:val="00191820"/>
    <w:rsid w:val="001966B7"/>
    <w:rsid w:val="001A0041"/>
    <w:rsid w:val="001A1854"/>
    <w:rsid w:val="001A42C9"/>
    <w:rsid w:val="001B3E4B"/>
    <w:rsid w:val="001B754D"/>
    <w:rsid w:val="001C13CA"/>
    <w:rsid w:val="001C193A"/>
    <w:rsid w:val="001D08CF"/>
    <w:rsid w:val="001E5F0E"/>
    <w:rsid w:val="001F0A3A"/>
    <w:rsid w:val="00213212"/>
    <w:rsid w:val="00213982"/>
    <w:rsid w:val="002221D7"/>
    <w:rsid w:val="00222466"/>
    <w:rsid w:val="00225F7D"/>
    <w:rsid w:val="00231344"/>
    <w:rsid w:val="0024178B"/>
    <w:rsid w:val="002441C4"/>
    <w:rsid w:val="00251180"/>
    <w:rsid w:val="00256BFD"/>
    <w:rsid w:val="00260728"/>
    <w:rsid w:val="00276D50"/>
    <w:rsid w:val="00295985"/>
    <w:rsid w:val="002A2B9F"/>
    <w:rsid w:val="002A36B7"/>
    <w:rsid w:val="002A6C14"/>
    <w:rsid w:val="002B7171"/>
    <w:rsid w:val="002B7187"/>
    <w:rsid w:val="002B72C3"/>
    <w:rsid w:val="002C04F6"/>
    <w:rsid w:val="002C2BC0"/>
    <w:rsid w:val="002D3873"/>
    <w:rsid w:val="00303774"/>
    <w:rsid w:val="003075DF"/>
    <w:rsid w:val="00307783"/>
    <w:rsid w:val="003172D8"/>
    <w:rsid w:val="003224A3"/>
    <w:rsid w:val="0033008E"/>
    <w:rsid w:val="003354F1"/>
    <w:rsid w:val="003414DB"/>
    <w:rsid w:val="00341790"/>
    <w:rsid w:val="0035578F"/>
    <w:rsid w:val="00361436"/>
    <w:rsid w:val="0037507B"/>
    <w:rsid w:val="003750FA"/>
    <w:rsid w:val="00376A0E"/>
    <w:rsid w:val="003826B5"/>
    <w:rsid w:val="00385932"/>
    <w:rsid w:val="00387F10"/>
    <w:rsid w:val="003918D2"/>
    <w:rsid w:val="0039501E"/>
    <w:rsid w:val="00395E56"/>
    <w:rsid w:val="0039624F"/>
    <w:rsid w:val="003B00B0"/>
    <w:rsid w:val="003B03F5"/>
    <w:rsid w:val="003B4229"/>
    <w:rsid w:val="003B5C42"/>
    <w:rsid w:val="003B61CC"/>
    <w:rsid w:val="003B7B7F"/>
    <w:rsid w:val="003C4DD1"/>
    <w:rsid w:val="003D7212"/>
    <w:rsid w:val="003E0CD6"/>
    <w:rsid w:val="003E48D5"/>
    <w:rsid w:val="003F3BC3"/>
    <w:rsid w:val="00416721"/>
    <w:rsid w:val="00425B98"/>
    <w:rsid w:val="0043475D"/>
    <w:rsid w:val="00437771"/>
    <w:rsid w:val="004428FD"/>
    <w:rsid w:val="00454D04"/>
    <w:rsid w:val="00456EBA"/>
    <w:rsid w:val="00460FAB"/>
    <w:rsid w:val="00466037"/>
    <w:rsid w:val="00466633"/>
    <w:rsid w:val="0047081A"/>
    <w:rsid w:val="00473FE3"/>
    <w:rsid w:val="00474D9B"/>
    <w:rsid w:val="00482BE1"/>
    <w:rsid w:val="0048608A"/>
    <w:rsid w:val="00486DCB"/>
    <w:rsid w:val="0049444A"/>
    <w:rsid w:val="00495B5E"/>
    <w:rsid w:val="004A5589"/>
    <w:rsid w:val="004B1697"/>
    <w:rsid w:val="004B3CE5"/>
    <w:rsid w:val="004B7706"/>
    <w:rsid w:val="004C0020"/>
    <w:rsid w:val="004D33C2"/>
    <w:rsid w:val="004D6F73"/>
    <w:rsid w:val="004E1B77"/>
    <w:rsid w:val="004E2887"/>
    <w:rsid w:val="004E3294"/>
    <w:rsid w:val="004E5227"/>
    <w:rsid w:val="004F7EE1"/>
    <w:rsid w:val="00507ACA"/>
    <w:rsid w:val="005148D6"/>
    <w:rsid w:val="0053546C"/>
    <w:rsid w:val="00550DAF"/>
    <w:rsid w:val="005525A9"/>
    <w:rsid w:val="00555409"/>
    <w:rsid w:val="00556536"/>
    <w:rsid w:val="00562A54"/>
    <w:rsid w:val="0056791E"/>
    <w:rsid w:val="00570F78"/>
    <w:rsid w:val="00574A6C"/>
    <w:rsid w:val="005827C7"/>
    <w:rsid w:val="005839E1"/>
    <w:rsid w:val="00585577"/>
    <w:rsid w:val="005867D6"/>
    <w:rsid w:val="005923E5"/>
    <w:rsid w:val="00592ECA"/>
    <w:rsid w:val="005A27DB"/>
    <w:rsid w:val="005A4119"/>
    <w:rsid w:val="005B29C0"/>
    <w:rsid w:val="005B569B"/>
    <w:rsid w:val="005B5FA2"/>
    <w:rsid w:val="005C2114"/>
    <w:rsid w:val="005C4BF9"/>
    <w:rsid w:val="005C5DDF"/>
    <w:rsid w:val="005D1201"/>
    <w:rsid w:val="005E1C2F"/>
    <w:rsid w:val="005F0226"/>
    <w:rsid w:val="005F1591"/>
    <w:rsid w:val="00603068"/>
    <w:rsid w:val="00611D2B"/>
    <w:rsid w:val="00613985"/>
    <w:rsid w:val="00625740"/>
    <w:rsid w:val="00643653"/>
    <w:rsid w:val="0064788B"/>
    <w:rsid w:val="00652DBB"/>
    <w:rsid w:val="006531A0"/>
    <w:rsid w:val="006574D3"/>
    <w:rsid w:val="0066492D"/>
    <w:rsid w:val="00665CB5"/>
    <w:rsid w:val="00666A62"/>
    <w:rsid w:val="006678AB"/>
    <w:rsid w:val="00672E02"/>
    <w:rsid w:val="00684769"/>
    <w:rsid w:val="00685268"/>
    <w:rsid w:val="00690699"/>
    <w:rsid w:val="006942C2"/>
    <w:rsid w:val="006A265F"/>
    <w:rsid w:val="006B2900"/>
    <w:rsid w:val="006C0501"/>
    <w:rsid w:val="006C5110"/>
    <w:rsid w:val="006F35B9"/>
    <w:rsid w:val="007030D2"/>
    <w:rsid w:val="007101E2"/>
    <w:rsid w:val="0071202B"/>
    <w:rsid w:val="00716CF1"/>
    <w:rsid w:val="00720964"/>
    <w:rsid w:val="007273F5"/>
    <w:rsid w:val="0073310D"/>
    <w:rsid w:val="00740F15"/>
    <w:rsid w:val="007539D7"/>
    <w:rsid w:val="00756578"/>
    <w:rsid w:val="00757889"/>
    <w:rsid w:val="007605BC"/>
    <w:rsid w:val="00762063"/>
    <w:rsid w:val="007623C8"/>
    <w:rsid w:val="00765577"/>
    <w:rsid w:val="00781949"/>
    <w:rsid w:val="00781B50"/>
    <w:rsid w:val="007845F1"/>
    <w:rsid w:val="007851BA"/>
    <w:rsid w:val="00794832"/>
    <w:rsid w:val="007979E6"/>
    <w:rsid w:val="00797C04"/>
    <w:rsid w:val="007A0829"/>
    <w:rsid w:val="007A1CD4"/>
    <w:rsid w:val="007B756F"/>
    <w:rsid w:val="007C2E5C"/>
    <w:rsid w:val="007C32A0"/>
    <w:rsid w:val="007C49DF"/>
    <w:rsid w:val="007E146F"/>
    <w:rsid w:val="007E391E"/>
    <w:rsid w:val="007E4E07"/>
    <w:rsid w:val="007F4EAE"/>
    <w:rsid w:val="00802542"/>
    <w:rsid w:val="0081377C"/>
    <w:rsid w:val="00823646"/>
    <w:rsid w:val="00826F1A"/>
    <w:rsid w:val="00835978"/>
    <w:rsid w:val="008436E4"/>
    <w:rsid w:val="00843897"/>
    <w:rsid w:val="008512EE"/>
    <w:rsid w:val="0085160A"/>
    <w:rsid w:val="008535CE"/>
    <w:rsid w:val="00861909"/>
    <w:rsid w:val="00865170"/>
    <w:rsid w:val="00870C5B"/>
    <w:rsid w:val="00886C6F"/>
    <w:rsid w:val="00897E39"/>
    <w:rsid w:val="008A19DB"/>
    <w:rsid w:val="008A51FF"/>
    <w:rsid w:val="008C09FA"/>
    <w:rsid w:val="008C0B9F"/>
    <w:rsid w:val="008D03C7"/>
    <w:rsid w:val="008D6431"/>
    <w:rsid w:val="008D65C6"/>
    <w:rsid w:val="008D7361"/>
    <w:rsid w:val="008D7BCD"/>
    <w:rsid w:val="009026D4"/>
    <w:rsid w:val="00904984"/>
    <w:rsid w:val="009178C9"/>
    <w:rsid w:val="00924116"/>
    <w:rsid w:val="0092576A"/>
    <w:rsid w:val="009306AF"/>
    <w:rsid w:val="0093530A"/>
    <w:rsid w:val="00936942"/>
    <w:rsid w:val="00937781"/>
    <w:rsid w:val="0094260D"/>
    <w:rsid w:val="00945DC7"/>
    <w:rsid w:val="009568C7"/>
    <w:rsid w:val="0096150A"/>
    <w:rsid w:val="00962FFD"/>
    <w:rsid w:val="00963D95"/>
    <w:rsid w:val="009653F2"/>
    <w:rsid w:val="009670DF"/>
    <w:rsid w:val="00973229"/>
    <w:rsid w:val="00976629"/>
    <w:rsid w:val="009A0FDE"/>
    <w:rsid w:val="009A1226"/>
    <w:rsid w:val="009A3410"/>
    <w:rsid w:val="009D393E"/>
    <w:rsid w:val="009D7452"/>
    <w:rsid w:val="009E0123"/>
    <w:rsid w:val="009E4EA9"/>
    <w:rsid w:val="009F0873"/>
    <w:rsid w:val="009F3B4D"/>
    <w:rsid w:val="009F4AF8"/>
    <w:rsid w:val="009F4B87"/>
    <w:rsid w:val="00A10C30"/>
    <w:rsid w:val="00A144A0"/>
    <w:rsid w:val="00A20D37"/>
    <w:rsid w:val="00A227F1"/>
    <w:rsid w:val="00A3299A"/>
    <w:rsid w:val="00A33CFD"/>
    <w:rsid w:val="00A36D5A"/>
    <w:rsid w:val="00A56EF6"/>
    <w:rsid w:val="00A609EC"/>
    <w:rsid w:val="00A718FB"/>
    <w:rsid w:val="00A746A5"/>
    <w:rsid w:val="00A7497D"/>
    <w:rsid w:val="00A74F2E"/>
    <w:rsid w:val="00A75EBB"/>
    <w:rsid w:val="00A81E0F"/>
    <w:rsid w:val="00AA36BF"/>
    <w:rsid w:val="00AA5C71"/>
    <w:rsid w:val="00AB4A0F"/>
    <w:rsid w:val="00AB760B"/>
    <w:rsid w:val="00AC03F4"/>
    <w:rsid w:val="00AC30BB"/>
    <w:rsid w:val="00AC55D2"/>
    <w:rsid w:val="00AD4A97"/>
    <w:rsid w:val="00AD7D22"/>
    <w:rsid w:val="00AE4DF6"/>
    <w:rsid w:val="00B1273C"/>
    <w:rsid w:val="00B22994"/>
    <w:rsid w:val="00B256DC"/>
    <w:rsid w:val="00B26B13"/>
    <w:rsid w:val="00B34DA2"/>
    <w:rsid w:val="00B35918"/>
    <w:rsid w:val="00B36698"/>
    <w:rsid w:val="00B419BE"/>
    <w:rsid w:val="00B50C5B"/>
    <w:rsid w:val="00B66C62"/>
    <w:rsid w:val="00B70451"/>
    <w:rsid w:val="00B72416"/>
    <w:rsid w:val="00B91290"/>
    <w:rsid w:val="00B919BE"/>
    <w:rsid w:val="00BA3DF3"/>
    <w:rsid w:val="00BA617E"/>
    <w:rsid w:val="00BB170A"/>
    <w:rsid w:val="00BB3BA0"/>
    <w:rsid w:val="00BB67CB"/>
    <w:rsid w:val="00BD3E2C"/>
    <w:rsid w:val="00BD7132"/>
    <w:rsid w:val="00BE6275"/>
    <w:rsid w:val="00BF6EDE"/>
    <w:rsid w:val="00C1318F"/>
    <w:rsid w:val="00C20959"/>
    <w:rsid w:val="00C23B9B"/>
    <w:rsid w:val="00C26DBF"/>
    <w:rsid w:val="00C51FC2"/>
    <w:rsid w:val="00C562EF"/>
    <w:rsid w:val="00C71B5C"/>
    <w:rsid w:val="00C821EB"/>
    <w:rsid w:val="00C85361"/>
    <w:rsid w:val="00C86424"/>
    <w:rsid w:val="00C9090B"/>
    <w:rsid w:val="00C94D92"/>
    <w:rsid w:val="00CA5749"/>
    <w:rsid w:val="00CA57AD"/>
    <w:rsid w:val="00CB2B07"/>
    <w:rsid w:val="00CB44AA"/>
    <w:rsid w:val="00CB4E35"/>
    <w:rsid w:val="00CB6CB3"/>
    <w:rsid w:val="00CC65BF"/>
    <w:rsid w:val="00CD7F96"/>
    <w:rsid w:val="00CE497B"/>
    <w:rsid w:val="00CF23D7"/>
    <w:rsid w:val="00CF7F0D"/>
    <w:rsid w:val="00D0415A"/>
    <w:rsid w:val="00D04AE8"/>
    <w:rsid w:val="00D05487"/>
    <w:rsid w:val="00D1054C"/>
    <w:rsid w:val="00D220B5"/>
    <w:rsid w:val="00D2244D"/>
    <w:rsid w:val="00D520DA"/>
    <w:rsid w:val="00D579D5"/>
    <w:rsid w:val="00D6057B"/>
    <w:rsid w:val="00D65711"/>
    <w:rsid w:val="00D758D2"/>
    <w:rsid w:val="00D81862"/>
    <w:rsid w:val="00DA146B"/>
    <w:rsid w:val="00DA3CC6"/>
    <w:rsid w:val="00DA5E7D"/>
    <w:rsid w:val="00DB0503"/>
    <w:rsid w:val="00DB63B9"/>
    <w:rsid w:val="00DC3C4C"/>
    <w:rsid w:val="00DC625E"/>
    <w:rsid w:val="00DC7C2D"/>
    <w:rsid w:val="00DD1CE9"/>
    <w:rsid w:val="00DE3581"/>
    <w:rsid w:val="00DE3BD2"/>
    <w:rsid w:val="00DE7BD6"/>
    <w:rsid w:val="00DF78CF"/>
    <w:rsid w:val="00E03D2C"/>
    <w:rsid w:val="00E040C1"/>
    <w:rsid w:val="00E143C8"/>
    <w:rsid w:val="00E32C7D"/>
    <w:rsid w:val="00E33E1E"/>
    <w:rsid w:val="00E35E1F"/>
    <w:rsid w:val="00E43A67"/>
    <w:rsid w:val="00E741DC"/>
    <w:rsid w:val="00E74BEC"/>
    <w:rsid w:val="00E75E7D"/>
    <w:rsid w:val="00E96FD1"/>
    <w:rsid w:val="00EB2041"/>
    <w:rsid w:val="00EB37A2"/>
    <w:rsid w:val="00EB40DF"/>
    <w:rsid w:val="00EE5204"/>
    <w:rsid w:val="00EE7F87"/>
    <w:rsid w:val="00F1014E"/>
    <w:rsid w:val="00F11840"/>
    <w:rsid w:val="00F216C1"/>
    <w:rsid w:val="00F220FA"/>
    <w:rsid w:val="00F27D93"/>
    <w:rsid w:val="00F30EC2"/>
    <w:rsid w:val="00F32014"/>
    <w:rsid w:val="00F34E5E"/>
    <w:rsid w:val="00F36C8D"/>
    <w:rsid w:val="00F57732"/>
    <w:rsid w:val="00F66EF5"/>
    <w:rsid w:val="00F726FE"/>
    <w:rsid w:val="00F7380C"/>
    <w:rsid w:val="00F744D5"/>
    <w:rsid w:val="00F8224C"/>
    <w:rsid w:val="00F82ED6"/>
    <w:rsid w:val="00F91322"/>
    <w:rsid w:val="00F924A7"/>
    <w:rsid w:val="00F96776"/>
    <w:rsid w:val="00FA1F3B"/>
    <w:rsid w:val="00FA6602"/>
    <w:rsid w:val="00FA7E7B"/>
    <w:rsid w:val="00FB16E4"/>
    <w:rsid w:val="00FB3B40"/>
    <w:rsid w:val="00FB4D30"/>
    <w:rsid w:val="00FB56A4"/>
    <w:rsid w:val="00FC1E2F"/>
    <w:rsid w:val="00FD6BFC"/>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6B91-5B7D-4958-AD0E-44675049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5</cp:revision>
  <cp:lastPrinted>2013-10-31T12:00:00Z</cp:lastPrinted>
  <dcterms:created xsi:type="dcterms:W3CDTF">2013-12-12T14:40:00Z</dcterms:created>
  <dcterms:modified xsi:type="dcterms:W3CDTF">2013-12-12T14:53:00Z</dcterms:modified>
</cp:coreProperties>
</file>