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98" w:rsidRDefault="00F96776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NEURE KABUZ</w:t>
      </w:r>
    </w:p>
    <w:p w:rsidR="00425B98" w:rsidRDefault="00F96776">
      <w:pPr>
        <w:spacing w:after="0"/>
        <w:rPr>
          <w:i/>
          <w:sz w:val="24"/>
        </w:rPr>
      </w:pPr>
      <w:r>
        <w:rPr>
          <w:i/>
          <w:sz w:val="24"/>
        </w:rPr>
        <w:t>Por JON AZUA</w:t>
      </w:r>
    </w:p>
    <w:p w:rsidR="00425B98" w:rsidRDefault="00425B98">
      <w:pPr>
        <w:spacing w:after="0"/>
        <w:rPr>
          <w:sz w:val="24"/>
        </w:rPr>
      </w:pPr>
    </w:p>
    <w:p w:rsidR="00425B98" w:rsidRDefault="001B3E4B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“Cooperación Necesaria…”</w:t>
      </w:r>
    </w:p>
    <w:p w:rsidR="00425B98" w:rsidRDefault="00425B98">
      <w:pPr>
        <w:spacing w:after="0"/>
        <w:rPr>
          <w:b/>
          <w:i/>
          <w:sz w:val="28"/>
        </w:rPr>
      </w:pPr>
    </w:p>
    <w:p w:rsidR="00425B98" w:rsidRPr="00797C04" w:rsidRDefault="001B3E4B">
      <w:pPr>
        <w:spacing w:after="0"/>
        <w:ind w:firstLine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apelación a la “</w:t>
      </w:r>
      <w:r w:rsidRPr="00460FAB">
        <w:rPr>
          <w:rFonts w:cstheme="minorHAnsi"/>
          <w:i/>
          <w:sz w:val="24"/>
        </w:rPr>
        <w:t>cooperación necesaria</w:t>
      </w:r>
      <w:r>
        <w:rPr>
          <w:rFonts w:cstheme="minorHAnsi"/>
          <w:sz w:val="24"/>
        </w:rPr>
        <w:t>”, en distintos ámbitos y con muy diversos propósitos, ha resultado imprescindible para entender algunos acontecimientos clave a lo largo de esta semana.</w:t>
      </w:r>
    </w:p>
    <w:p w:rsidR="00425B98" w:rsidRPr="00797C04" w:rsidRDefault="00425B98">
      <w:pPr>
        <w:spacing w:after="0"/>
        <w:ind w:firstLine="284"/>
        <w:jc w:val="both"/>
        <w:rPr>
          <w:rFonts w:cstheme="minorHAnsi"/>
          <w:sz w:val="24"/>
        </w:rPr>
      </w:pPr>
    </w:p>
    <w:p w:rsidR="00425B98" w:rsidRPr="00797C04" w:rsidRDefault="00F96776" w:rsidP="00FB16E4">
      <w:pPr>
        <w:spacing w:after="0"/>
        <w:ind w:firstLine="284"/>
        <w:jc w:val="both"/>
        <w:rPr>
          <w:rFonts w:cstheme="minorHAnsi"/>
          <w:sz w:val="24"/>
        </w:rPr>
      </w:pPr>
      <w:r w:rsidRPr="00797C04">
        <w:rPr>
          <w:rFonts w:cstheme="minorHAnsi"/>
          <w:sz w:val="24"/>
        </w:rPr>
        <w:t xml:space="preserve"> </w:t>
      </w:r>
      <w:r w:rsidR="001B3E4B">
        <w:rPr>
          <w:rFonts w:cstheme="minorHAnsi"/>
          <w:sz w:val="24"/>
        </w:rPr>
        <w:t>Si el hecho histórico de la imputación de un miembro de la Casa Real Española bajo “</w:t>
      </w:r>
      <w:r w:rsidR="001B3E4B" w:rsidRPr="00460FAB">
        <w:rPr>
          <w:rFonts w:cstheme="minorHAnsi"/>
          <w:i/>
          <w:sz w:val="24"/>
        </w:rPr>
        <w:t>la evidencia de su cooperación necesaria para garantizar un trato especial y acceso a beneficios que de otra forma no hubiera sido posible lograr</w:t>
      </w:r>
      <w:r w:rsidR="001B3E4B">
        <w:rPr>
          <w:rFonts w:cstheme="minorHAnsi"/>
          <w:sz w:val="24"/>
        </w:rPr>
        <w:t>”, o en su extensión hacia el llamado “caso Bárcenas”</w:t>
      </w:r>
      <w:r w:rsidR="00FB16E4">
        <w:rPr>
          <w:rFonts w:cstheme="minorHAnsi"/>
          <w:sz w:val="24"/>
        </w:rPr>
        <w:t>,</w:t>
      </w:r>
      <w:r w:rsidR="001B3E4B">
        <w:rPr>
          <w:rFonts w:cstheme="minorHAnsi"/>
          <w:sz w:val="24"/>
        </w:rPr>
        <w:t xml:space="preserve"> centra en la “</w:t>
      </w:r>
      <w:r w:rsidR="001B3E4B" w:rsidRPr="00460FAB">
        <w:rPr>
          <w:rFonts w:cstheme="minorHAnsi"/>
          <w:i/>
          <w:sz w:val="24"/>
        </w:rPr>
        <w:t>cooperación necesaria</w:t>
      </w:r>
      <w:r w:rsidR="001B3E4B">
        <w:rPr>
          <w:rFonts w:cstheme="minorHAnsi"/>
          <w:sz w:val="24"/>
        </w:rPr>
        <w:t>” la complicidad de las sucesivas direcciones del Partido Popular español con diferentes gobiernos autonómicos y empresas españolas “facilitando el acceso a una financiación presuntamente irregular”</w:t>
      </w:r>
      <w:r w:rsidR="00FB16E4">
        <w:rPr>
          <w:rFonts w:cstheme="minorHAnsi"/>
          <w:sz w:val="24"/>
        </w:rPr>
        <w:t>,</w:t>
      </w:r>
      <w:r w:rsidR="001B3E4B">
        <w:rPr>
          <w:rFonts w:cstheme="minorHAnsi"/>
          <w:sz w:val="24"/>
        </w:rPr>
        <w:t xml:space="preserve"> </w:t>
      </w:r>
      <w:r w:rsidR="00460FAB">
        <w:rPr>
          <w:rFonts w:cstheme="minorHAnsi"/>
          <w:sz w:val="24"/>
        </w:rPr>
        <w:t xml:space="preserve"> y </w:t>
      </w:r>
      <w:r w:rsidR="001B3E4B">
        <w:rPr>
          <w:rFonts w:cstheme="minorHAnsi"/>
          <w:sz w:val="24"/>
        </w:rPr>
        <w:t>suponen la negra punta del iceberg de la imagen real de la “Marca España” tras los indicadores objetivos de desempleo, empobrecimiento relativo, ausencia de horizonte, debilidad de su tejido económico y desconfianza generalizada de “los mercados” (prima riesgo País)</w:t>
      </w:r>
      <w:r w:rsidR="00460FAB">
        <w:rPr>
          <w:rFonts w:cstheme="minorHAnsi"/>
          <w:sz w:val="24"/>
        </w:rPr>
        <w:t>, no parecería ser la única acepción posible</w:t>
      </w:r>
      <w:r w:rsidR="001B3E4B">
        <w:rPr>
          <w:rFonts w:cstheme="minorHAnsi"/>
          <w:sz w:val="24"/>
        </w:rPr>
        <w:t>.</w:t>
      </w:r>
      <w:r w:rsidR="00FB16E4">
        <w:rPr>
          <w:rFonts w:cstheme="minorHAnsi"/>
          <w:sz w:val="24"/>
        </w:rPr>
        <w:t xml:space="preserve"> </w:t>
      </w:r>
      <w:r w:rsidR="001B3E4B">
        <w:rPr>
          <w:rFonts w:cstheme="minorHAnsi"/>
          <w:sz w:val="24"/>
        </w:rPr>
        <w:t>Otra concepción de la mencionada “</w:t>
      </w:r>
      <w:r w:rsidR="001B3E4B" w:rsidRPr="00460FAB">
        <w:rPr>
          <w:rFonts w:cstheme="minorHAnsi"/>
          <w:i/>
          <w:sz w:val="24"/>
        </w:rPr>
        <w:t>cooperación necesaria</w:t>
      </w:r>
      <w:r w:rsidR="001B3E4B">
        <w:rPr>
          <w:rFonts w:cstheme="minorHAnsi"/>
          <w:sz w:val="24"/>
        </w:rPr>
        <w:t>” se ha puesto en marcha. La difícil y meritori</w:t>
      </w:r>
      <w:r w:rsidR="00FB16E4">
        <w:rPr>
          <w:rFonts w:cstheme="minorHAnsi"/>
          <w:sz w:val="24"/>
        </w:rPr>
        <w:t>a</w:t>
      </w:r>
      <w:r w:rsidR="001B3E4B">
        <w:rPr>
          <w:rFonts w:cstheme="minorHAnsi"/>
          <w:sz w:val="24"/>
        </w:rPr>
        <w:t xml:space="preserve"> tarea de los presidentes de las principales empresas del IBEX iniciando su particular “Road Show” a lo largo de l</w:t>
      </w:r>
      <w:r w:rsidR="005A4119">
        <w:rPr>
          <w:rFonts w:cstheme="minorHAnsi"/>
          <w:sz w:val="24"/>
        </w:rPr>
        <w:t>a</w:t>
      </w:r>
      <w:r w:rsidR="001B3E4B">
        <w:rPr>
          <w:rFonts w:cstheme="minorHAnsi"/>
          <w:sz w:val="24"/>
        </w:rPr>
        <w:t>s principales plazas financieras al objeto de vender “otra Marca España” soportada en sus propias experiencias y</w:t>
      </w:r>
      <w:r w:rsidR="005A4119">
        <w:rPr>
          <w:rFonts w:cstheme="minorHAnsi"/>
          <w:sz w:val="24"/>
        </w:rPr>
        <w:t xml:space="preserve"> realidades individuales-empresariales en una campaña público-privada cuyos principales embajadores (empezando por la Casa Real española y siguiendo por el Gobierno PP) son hoy, precisamente, el peor referente de credibilidad, transparencia, buenas prácticas y apuesta de futuro.</w:t>
      </w:r>
      <w:r w:rsidR="001B3E4B">
        <w:rPr>
          <w:rFonts w:cstheme="minorHAnsi"/>
          <w:sz w:val="24"/>
        </w:rPr>
        <w:t xml:space="preserve"> </w:t>
      </w:r>
      <w:r w:rsidR="00460FAB">
        <w:rPr>
          <w:rFonts w:cstheme="minorHAnsi"/>
          <w:sz w:val="24"/>
        </w:rPr>
        <w:t xml:space="preserve">En este marco contradictorio, cierta prensa internacional anuncia “señales de recuperación de la economía española”. </w:t>
      </w:r>
    </w:p>
    <w:p w:rsidR="00425B98" w:rsidRDefault="00425B98">
      <w:pPr>
        <w:spacing w:after="0"/>
        <w:ind w:firstLine="284"/>
        <w:jc w:val="both"/>
        <w:rPr>
          <w:rFonts w:cstheme="minorHAnsi"/>
          <w:sz w:val="24"/>
        </w:rPr>
      </w:pPr>
    </w:p>
    <w:p w:rsidR="00425B98" w:rsidRDefault="005A4119">
      <w:pPr>
        <w:spacing w:after="0"/>
        <w:ind w:firstLine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Sin embargo, la carga negativa del concepto ha de dar paso a una imperiosa demanda de la positiva “</w:t>
      </w:r>
      <w:r w:rsidRPr="00460FAB">
        <w:rPr>
          <w:rFonts w:cstheme="minorHAnsi"/>
          <w:i/>
          <w:sz w:val="24"/>
        </w:rPr>
        <w:t>Cooperación Necesaria</w:t>
      </w:r>
      <w:r>
        <w:rPr>
          <w:rFonts w:cstheme="minorHAnsi"/>
          <w:sz w:val="24"/>
        </w:rPr>
        <w:t>” que construye País, genera riqueza y bienestar y ofrece garantía de futuro. En esta línea, la inauguración de la “Planta de Coque” de Pretronor pone en valor esta idea. La llamada “mayor invers</w:t>
      </w:r>
      <w:r w:rsidR="00574A6C">
        <w:rPr>
          <w:rFonts w:cstheme="minorHAnsi"/>
          <w:sz w:val="24"/>
        </w:rPr>
        <w:t xml:space="preserve">ión industrial en Euskadi (1000 </w:t>
      </w:r>
      <w:r>
        <w:rPr>
          <w:rFonts w:cstheme="minorHAnsi"/>
          <w:sz w:val="24"/>
        </w:rPr>
        <w:t xml:space="preserve">MM de euros)” que ha posibilitado crear y mantener miles de empleos durante los últimos 8 años en su proceso constructivo, afianzando la mejor y primera refinería del Estado, desde el primer contribuyente de nuestro País (750 MM euros/año) y pieza clave de la viabilidad de nuestro Puerto de Bilbao, permite “anclar” </w:t>
      </w:r>
      <w:r w:rsidR="00460FAB">
        <w:rPr>
          <w:rFonts w:cstheme="minorHAnsi"/>
          <w:sz w:val="24"/>
        </w:rPr>
        <w:t xml:space="preserve">en Euskadi </w:t>
      </w:r>
      <w:r>
        <w:rPr>
          <w:rFonts w:cstheme="minorHAnsi"/>
          <w:sz w:val="24"/>
        </w:rPr>
        <w:t xml:space="preserve">un activo estratégico en el cambiante escenario </w:t>
      </w:r>
      <w:r w:rsidR="00DE3BD2">
        <w:rPr>
          <w:rFonts w:cstheme="minorHAnsi"/>
          <w:sz w:val="24"/>
        </w:rPr>
        <w:t>m</w:t>
      </w:r>
      <w:r w:rsidR="00225F7D">
        <w:rPr>
          <w:rFonts w:cstheme="minorHAnsi"/>
          <w:sz w:val="24"/>
        </w:rPr>
        <w:t>un</w:t>
      </w:r>
      <w:r w:rsidR="005C5DDF">
        <w:rPr>
          <w:rFonts w:cstheme="minorHAnsi"/>
          <w:sz w:val="24"/>
        </w:rPr>
        <w:t>d</w:t>
      </w:r>
      <w:r w:rsidR="00DE3BD2">
        <w:rPr>
          <w:rFonts w:cstheme="minorHAnsi"/>
          <w:sz w:val="24"/>
        </w:rPr>
        <w:t>ializado.</w:t>
      </w:r>
    </w:p>
    <w:p w:rsidR="00574A6C" w:rsidRDefault="00574A6C">
      <w:pPr>
        <w:spacing w:after="0"/>
        <w:ind w:firstLine="284"/>
        <w:jc w:val="both"/>
        <w:rPr>
          <w:rFonts w:cstheme="minorHAnsi"/>
          <w:sz w:val="24"/>
        </w:rPr>
      </w:pPr>
    </w:p>
    <w:p w:rsidR="00425B98" w:rsidRDefault="0017029F">
      <w:pPr>
        <w:spacing w:after="0"/>
        <w:ind w:firstLine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En su inauguración, el Gobierno Vasco hablaba del “ejemplo de cooperación industrial” en referencia tanto a la cooperación públic</w:t>
      </w:r>
      <w:r w:rsidR="00460FAB">
        <w:rPr>
          <w:rFonts w:cstheme="minorHAnsi"/>
          <w:sz w:val="24"/>
        </w:rPr>
        <w:t>o</w:t>
      </w:r>
      <w:r>
        <w:rPr>
          <w:rFonts w:cstheme="minorHAnsi"/>
          <w:sz w:val="24"/>
        </w:rPr>
        <w:t>-privada como a la cooperación inter institucional e inter empresarial así como internacional</w:t>
      </w:r>
      <w:r w:rsidR="003918D2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orientad</w:t>
      </w:r>
      <w:r w:rsidR="00460FAB">
        <w:rPr>
          <w:rFonts w:cstheme="minorHAnsi"/>
          <w:sz w:val="24"/>
        </w:rPr>
        <w:t>a</w:t>
      </w:r>
      <w:r>
        <w:rPr>
          <w:rFonts w:cstheme="minorHAnsi"/>
          <w:sz w:val="24"/>
        </w:rPr>
        <w:t>s hacia la industria.</w:t>
      </w:r>
    </w:p>
    <w:p w:rsidR="0017029F" w:rsidRPr="00797C04" w:rsidRDefault="0017029F">
      <w:pPr>
        <w:spacing w:after="0"/>
        <w:ind w:firstLine="284"/>
        <w:jc w:val="both"/>
        <w:rPr>
          <w:rFonts w:cstheme="minorHAnsi"/>
          <w:sz w:val="24"/>
        </w:rPr>
      </w:pPr>
    </w:p>
    <w:p w:rsidR="00425B98" w:rsidRPr="00797C04" w:rsidRDefault="0017029F">
      <w:pPr>
        <w:spacing w:after="0"/>
        <w:ind w:firstLine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Y es, precisamente, esta feliz inauguración la que nos muestra una serie de valores a tener en cuenta: 1) La apuesta por la industria de la mano de un proyecto visionario de alto riesgo iniciado hace ya casi 50 años en el marco de una ambiciosa propuesta (“El </w:t>
      </w:r>
      <w:r w:rsidR="008D65C6">
        <w:rPr>
          <w:rFonts w:cstheme="minorHAnsi"/>
          <w:sz w:val="24"/>
        </w:rPr>
        <w:t>Super</w:t>
      </w:r>
      <w:r>
        <w:rPr>
          <w:rFonts w:cstheme="minorHAnsi"/>
          <w:sz w:val="24"/>
        </w:rPr>
        <w:t xml:space="preserve"> Puerto de Bilbao”)</w:t>
      </w:r>
      <w:r w:rsidR="003918D2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ha sido el gran motor (en este caso privado) cooperativo con instituciones y la Sociedad Vasca (en especial de su entorno inmediato de Muskiz) que permite sucesivas ampliaciones e inversiones reales, generando valor a lo largo del tiempo; 2) Visión y Riesgo resultan inseparables en una decisión de este calibre. Los riesgos deben contemplarse como “un </w:t>
      </w:r>
      <w:r w:rsidR="00460FAB">
        <w:rPr>
          <w:rFonts w:cstheme="minorHAnsi"/>
          <w:sz w:val="24"/>
        </w:rPr>
        <w:t>d</w:t>
      </w:r>
      <w:r>
        <w:rPr>
          <w:rFonts w:cstheme="minorHAnsi"/>
          <w:sz w:val="24"/>
        </w:rPr>
        <w:t>ato” y no como un freno o impedimento para ganar el futuro.</w:t>
      </w:r>
      <w:r w:rsidR="00460FAB">
        <w:rPr>
          <w:rFonts w:cstheme="minorHAnsi"/>
          <w:sz w:val="24"/>
        </w:rPr>
        <w:t xml:space="preserve"> Más bien, las dificultades  intrínsecas del proyecto provocaban un esfuerzo innovador e inversor</w:t>
      </w:r>
      <w:r w:rsidR="00113C75">
        <w:rPr>
          <w:rFonts w:cstheme="minorHAnsi"/>
          <w:sz w:val="24"/>
        </w:rPr>
        <w:t xml:space="preserve"> para afrontar la minoración de riesgos e impacto.</w:t>
      </w:r>
      <w:r w:rsidR="00460FA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Este proyecto </w:t>
      </w:r>
      <w:r w:rsidR="008D65C6">
        <w:rPr>
          <w:rFonts w:cstheme="minorHAnsi"/>
          <w:sz w:val="24"/>
        </w:rPr>
        <w:t>concreto nació con la oposición de determinados movimientos que situaron la bandera del peligro</w:t>
      </w:r>
      <w:r w:rsidR="00460FAB">
        <w:rPr>
          <w:rFonts w:cstheme="minorHAnsi"/>
          <w:sz w:val="24"/>
        </w:rPr>
        <w:t xml:space="preserve"> o deterioro ambiental </w:t>
      </w:r>
      <w:r w:rsidR="008D65C6">
        <w:rPr>
          <w:rFonts w:cstheme="minorHAnsi"/>
          <w:sz w:val="24"/>
        </w:rPr>
        <w:t xml:space="preserve"> como argumento no solamente de la no realización de la inversión</w:t>
      </w:r>
      <w:r w:rsidR="003918D2">
        <w:rPr>
          <w:rFonts w:cstheme="minorHAnsi"/>
          <w:sz w:val="24"/>
        </w:rPr>
        <w:t>,</w:t>
      </w:r>
      <w:r w:rsidR="008D65C6">
        <w:rPr>
          <w:rFonts w:cstheme="minorHAnsi"/>
          <w:sz w:val="24"/>
        </w:rPr>
        <w:t xml:space="preserve"> sino de la consecuente paralización progresiva de la refinería en su conjunto. El coraje, vocación empresa</w:t>
      </w:r>
      <w:r w:rsidR="0039624F">
        <w:rPr>
          <w:rFonts w:cstheme="minorHAnsi"/>
          <w:sz w:val="24"/>
        </w:rPr>
        <w:t>-País, compromiso de unos pocos</w:t>
      </w:r>
      <w:r w:rsidR="00113C75">
        <w:rPr>
          <w:rFonts w:cstheme="minorHAnsi"/>
          <w:sz w:val="24"/>
        </w:rPr>
        <w:t>,</w:t>
      </w:r>
      <w:r w:rsidR="0039624F">
        <w:rPr>
          <w:rFonts w:cstheme="minorHAnsi"/>
          <w:sz w:val="24"/>
        </w:rPr>
        <w:t xml:space="preserve"> </w:t>
      </w:r>
      <w:r w:rsidR="008D65C6">
        <w:rPr>
          <w:rFonts w:cstheme="minorHAnsi"/>
          <w:sz w:val="24"/>
        </w:rPr>
        <w:t>ha permitido que hoy nos felicitemos de contemplar una nueva luz de esperanza en el futuro de este País y el bienestar de sus ciudadanos</w:t>
      </w:r>
      <w:r w:rsidR="0039624F">
        <w:rPr>
          <w:rFonts w:cstheme="minorHAnsi"/>
          <w:sz w:val="24"/>
        </w:rPr>
        <w:t xml:space="preserve"> </w:t>
      </w:r>
      <w:bookmarkStart w:id="0" w:name="_GoBack"/>
      <w:bookmarkEnd w:id="0"/>
      <w:r w:rsidR="0039624F">
        <w:rPr>
          <w:rFonts w:cstheme="minorHAnsi"/>
          <w:sz w:val="24"/>
        </w:rPr>
        <w:t>(</w:t>
      </w:r>
      <w:r w:rsidR="00113C75">
        <w:rPr>
          <w:rFonts w:cstheme="minorHAnsi"/>
          <w:sz w:val="24"/>
        </w:rPr>
        <w:t>incluidos quienes se oponen de forma sistemática)</w:t>
      </w:r>
      <w:r w:rsidR="008D65C6">
        <w:rPr>
          <w:rFonts w:cstheme="minorHAnsi"/>
          <w:sz w:val="24"/>
        </w:rPr>
        <w:t xml:space="preserve">; 3) </w:t>
      </w:r>
      <w:r w:rsidR="003918D2">
        <w:rPr>
          <w:rFonts w:cstheme="minorHAnsi"/>
          <w:sz w:val="24"/>
        </w:rPr>
        <w:t>L</w:t>
      </w:r>
      <w:r w:rsidR="008D65C6">
        <w:rPr>
          <w:rFonts w:cstheme="minorHAnsi"/>
          <w:sz w:val="24"/>
        </w:rPr>
        <w:t xml:space="preserve">os cantos favorables a la idílica Sociedad Creativa y del Conocimiento, de exclusiva bata blanca, verdes praderas, </w:t>
      </w:r>
      <w:r w:rsidR="008D65C6" w:rsidRPr="00113C75">
        <w:rPr>
          <w:rFonts w:cstheme="minorHAnsi"/>
          <w:i/>
          <w:sz w:val="24"/>
        </w:rPr>
        <w:t>empleados públicos y micro-auto empleados/emprendedores</w:t>
      </w:r>
      <w:r w:rsidR="008D65C6">
        <w:rPr>
          <w:rFonts w:cstheme="minorHAnsi"/>
          <w:sz w:val="24"/>
        </w:rPr>
        <w:t xml:space="preserve"> han de convivir (cooperación necesaria) con el entorno fabril, logístico, portuario, de transformación, transporte, energético…etc. generador de riqueza, fuente de innovación tecnológica, empleador, motor de la internacionalización y el conocimiento y facilitador del tránsito formativo y cultural de una población trabajadora concreta que ha de construir su propio futuro lejos de esperar que le venga dado por “generación espontánea”.</w:t>
      </w:r>
    </w:p>
    <w:p w:rsidR="00425B98" w:rsidRPr="00797C04" w:rsidRDefault="00425B98">
      <w:pPr>
        <w:spacing w:after="0"/>
        <w:ind w:firstLine="284"/>
        <w:jc w:val="both"/>
        <w:rPr>
          <w:rFonts w:cstheme="minorHAnsi"/>
          <w:sz w:val="24"/>
        </w:rPr>
      </w:pPr>
    </w:p>
    <w:p w:rsidR="00425B98" w:rsidRPr="00797C04" w:rsidRDefault="008D65C6" w:rsidP="00CA57AD">
      <w:pPr>
        <w:spacing w:after="0"/>
        <w:ind w:firstLine="284"/>
        <w:jc w:val="both"/>
        <w:rPr>
          <w:rFonts w:cstheme="minorHAnsi"/>
          <w:b/>
          <w:i/>
          <w:sz w:val="24"/>
        </w:rPr>
      </w:pPr>
      <w:r>
        <w:rPr>
          <w:rFonts w:cstheme="minorHAnsi"/>
          <w:sz w:val="24"/>
        </w:rPr>
        <w:t xml:space="preserve">Petronor nos ha recordado esta semana el valor de la “COOPERACION NECESARIA”. En este caso, la cooperación público-privada, la </w:t>
      </w:r>
      <w:proofErr w:type="spellStart"/>
      <w:r>
        <w:rPr>
          <w:rFonts w:cstheme="minorHAnsi"/>
          <w:sz w:val="24"/>
        </w:rPr>
        <w:t>co</w:t>
      </w:r>
      <w:proofErr w:type="spellEnd"/>
      <w:r>
        <w:rPr>
          <w:rFonts w:cstheme="minorHAnsi"/>
          <w:sz w:val="24"/>
        </w:rPr>
        <w:t>-creación de valor empresa-gobiernos-Sociedad a partir de una economía real: la industria. Es la historia exitosa de Euskadi. Seguramente, también, la clave de un nuevo y exitoso futuro.</w:t>
      </w:r>
    </w:p>
    <w:sectPr w:rsidR="00425B98" w:rsidRPr="00797C04">
      <w:footerReference w:type="default" r:id="rId9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09" w:rsidRDefault="00555409" w:rsidP="00F91322">
      <w:pPr>
        <w:spacing w:after="0" w:line="240" w:lineRule="auto"/>
      </w:pPr>
      <w:r>
        <w:separator/>
      </w:r>
    </w:p>
  </w:endnote>
  <w:endnote w:type="continuationSeparator" w:id="0">
    <w:p w:rsidR="00555409" w:rsidRDefault="00555409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797C04" w:rsidRDefault="00797C04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591">
          <w:rPr>
            <w:noProof/>
          </w:rPr>
          <w:t>1</w:t>
        </w:r>
        <w:r>
          <w:fldChar w:fldCharType="end"/>
        </w:r>
      </w:p>
    </w:sdtContent>
  </w:sdt>
  <w:p w:rsidR="00797C04" w:rsidRDefault="00797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09" w:rsidRDefault="00555409" w:rsidP="00F91322">
      <w:pPr>
        <w:spacing w:after="0" w:line="240" w:lineRule="auto"/>
      </w:pPr>
      <w:r>
        <w:separator/>
      </w:r>
    </w:p>
  </w:footnote>
  <w:footnote w:type="continuationSeparator" w:id="0">
    <w:p w:rsidR="00555409" w:rsidRDefault="00555409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3BAA"/>
    <w:multiLevelType w:val="hybridMultilevel"/>
    <w:tmpl w:val="F828BFBC"/>
    <w:lvl w:ilvl="0" w:tplc="0AF0E87E">
      <w:start w:val="1"/>
      <w:numFmt w:val="decimal"/>
      <w:lvlText w:val="%1)"/>
      <w:lvlJc w:val="left"/>
      <w:pPr>
        <w:ind w:left="1004" w:hanging="360"/>
      </w:pPr>
    </w:lvl>
    <w:lvl w:ilvl="1" w:tplc="C6E6E72A">
      <w:start w:val="1"/>
      <w:numFmt w:val="lowerLetter"/>
      <w:lvlText w:val="%2."/>
      <w:lvlJc w:val="left"/>
      <w:pPr>
        <w:ind w:left="1724" w:hanging="360"/>
      </w:pPr>
    </w:lvl>
    <w:lvl w:ilvl="2" w:tplc="E640D818">
      <w:start w:val="1"/>
      <w:numFmt w:val="lowerRoman"/>
      <w:lvlText w:val="%3."/>
      <w:lvlJc w:val="right"/>
      <w:pPr>
        <w:ind w:left="2444" w:hanging="180"/>
      </w:pPr>
    </w:lvl>
    <w:lvl w:ilvl="3" w:tplc="8FF40684">
      <w:start w:val="1"/>
      <w:numFmt w:val="decimal"/>
      <w:lvlText w:val="%4."/>
      <w:lvlJc w:val="left"/>
      <w:pPr>
        <w:ind w:left="3164" w:hanging="360"/>
      </w:pPr>
    </w:lvl>
    <w:lvl w:ilvl="4" w:tplc="46709FAC">
      <w:start w:val="1"/>
      <w:numFmt w:val="lowerLetter"/>
      <w:lvlText w:val="%5."/>
      <w:lvlJc w:val="left"/>
      <w:pPr>
        <w:ind w:left="3884" w:hanging="360"/>
      </w:pPr>
    </w:lvl>
    <w:lvl w:ilvl="5" w:tplc="2B861920">
      <w:start w:val="1"/>
      <w:numFmt w:val="lowerRoman"/>
      <w:lvlText w:val="%6."/>
      <w:lvlJc w:val="right"/>
      <w:pPr>
        <w:ind w:left="4604" w:hanging="180"/>
      </w:pPr>
    </w:lvl>
    <w:lvl w:ilvl="6" w:tplc="25CEA216">
      <w:start w:val="1"/>
      <w:numFmt w:val="decimal"/>
      <w:lvlText w:val="%7."/>
      <w:lvlJc w:val="left"/>
      <w:pPr>
        <w:ind w:left="5324" w:hanging="360"/>
      </w:pPr>
    </w:lvl>
    <w:lvl w:ilvl="7" w:tplc="D3A8800C">
      <w:start w:val="1"/>
      <w:numFmt w:val="lowerLetter"/>
      <w:lvlText w:val="%8."/>
      <w:lvlJc w:val="left"/>
      <w:pPr>
        <w:ind w:left="6044" w:hanging="360"/>
      </w:pPr>
    </w:lvl>
    <w:lvl w:ilvl="8" w:tplc="C1FA0C06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E1504DE"/>
    <w:multiLevelType w:val="hybridMultilevel"/>
    <w:tmpl w:val="3D509046"/>
    <w:lvl w:ilvl="0" w:tplc="6F5C8EA0">
      <w:start w:val="1"/>
      <w:numFmt w:val="decimal"/>
      <w:lvlText w:val="%1."/>
      <w:lvlJc w:val="left"/>
      <w:pPr>
        <w:ind w:left="720" w:hanging="360"/>
      </w:pPr>
    </w:lvl>
    <w:lvl w:ilvl="1" w:tplc="1BA83A80">
      <w:start w:val="1"/>
      <w:numFmt w:val="lowerLetter"/>
      <w:lvlText w:val="%2."/>
      <w:lvlJc w:val="left"/>
      <w:pPr>
        <w:ind w:left="1440" w:hanging="360"/>
      </w:pPr>
    </w:lvl>
    <w:lvl w:ilvl="2" w:tplc="B344B73A">
      <w:start w:val="1"/>
      <w:numFmt w:val="lowerRoman"/>
      <w:lvlText w:val="%3."/>
      <w:lvlJc w:val="right"/>
      <w:pPr>
        <w:ind w:left="2160" w:hanging="180"/>
      </w:pPr>
    </w:lvl>
    <w:lvl w:ilvl="3" w:tplc="D3E6ACEA">
      <w:start w:val="1"/>
      <w:numFmt w:val="decimal"/>
      <w:lvlText w:val="%4."/>
      <w:lvlJc w:val="left"/>
      <w:pPr>
        <w:ind w:left="2880" w:hanging="360"/>
      </w:pPr>
    </w:lvl>
    <w:lvl w:ilvl="4" w:tplc="0B1EC156">
      <w:start w:val="1"/>
      <w:numFmt w:val="lowerLetter"/>
      <w:lvlText w:val="%5."/>
      <w:lvlJc w:val="left"/>
      <w:pPr>
        <w:ind w:left="3600" w:hanging="360"/>
      </w:pPr>
    </w:lvl>
    <w:lvl w:ilvl="5" w:tplc="918E670E">
      <w:start w:val="1"/>
      <w:numFmt w:val="lowerRoman"/>
      <w:lvlText w:val="%6."/>
      <w:lvlJc w:val="right"/>
      <w:pPr>
        <w:ind w:left="4320" w:hanging="180"/>
      </w:pPr>
    </w:lvl>
    <w:lvl w:ilvl="6" w:tplc="2466C972">
      <w:start w:val="1"/>
      <w:numFmt w:val="decimal"/>
      <w:lvlText w:val="%7."/>
      <w:lvlJc w:val="left"/>
      <w:pPr>
        <w:ind w:left="5040" w:hanging="360"/>
      </w:pPr>
    </w:lvl>
    <w:lvl w:ilvl="7" w:tplc="B8DC6B9A">
      <w:start w:val="1"/>
      <w:numFmt w:val="lowerLetter"/>
      <w:lvlText w:val="%8."/>
      <w:lvlJc w:val="left"/>
      <w:pPr>
        <w:ind w:left="5760" w:hanging="360"/>
      </w:pPr>
    </w:lvl>
    <w:lvl w:ilvl="8" w:tplc="53F43A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C4CB6"/>
    <w:multiLevelType w:val="hybridMultilevel"/>
    <w:tmpl w:val="B394D982"/>
    <w:lvl w:ilvl="0" w:tplc="79064AE2">
      <w:start w:val="1"/>
      <w:numFmt w:val="decimal"/>
      <w:lvlText w:val="%1)"/>
      <w:lvlJc w:val="left"/>
      <w:pPr>
        <w:ind w:left="644" w:hanging="360"/>
      </w:pPr>
    </w:lvl>
    <w:lvl w:ilvl="1" w:tplc="2A487FD8">
      <w:start w:val="1"/>
      <w:numFmt w:val="lowerLetter"/>
      <w:lvlText w:val="%2."/>
      <w:lvlJc w:val="left"/>
      <w:pPr>
        <w:ind w:left="1364" w:hanging="360"/>
      </w:pPr>
    </w:lvl>
    <w:lvl w:ilvl="2" w:tplc="03B819C4">
      <w:start w:val="1"/>
      <w:numFmt w:val="lowerRoman"/>
      <w:lvlText w:val="%3."/>
      <w:lvlJc w:val="right"/>
      <w:pPr>
        <w:ind w:left="2084" w:hanging="180"/>
      </w:pPr>
    </w:lvl>
    <w:lvl w:ilvl="3" w:tplc="F9C225D8">
      <w:start w:val="1"/>
      <w:numFmt w:val="decimal"/>
      <w:lvlText w:val="%4."/>
      <w:lvlJc w:val="left"/>
      <w:pPr>
        <w:ind w:left="2804" w:hanging="360"/>
      </w:pPr>
    </w:lvl>
    <w:lvl w:ilvl="4" w:tplc="3DF097A8">
      <w:start w:val="1"/>
      <w:numFmt w:val="lowerLetter"/>
      <w:lvlText w:val="%5."/>
      <w:lvlJc w:val="left"/>
      <w:pPr>
        <w:ind w:left="3524" w:hanging="360"/>
      </w:pPr>
    </w:lvl>
    <w:lvl w:ilvl="5" w:tplc="91748EF0">
      <w:start w:val="1"/>
      <w:numFmt w:val="lowerRoman"/>
      <w:lvlText w:val="%6."/>
      <w:lvlJc w:val="right"/>
      <w:pPr>
        <w:ind w:left="4244" w:hanging="180"/>
      </w:pPr>
    </w:lvl>
    <w:lvl w:ilvl="6" w:tplc="0D50398E">
      <w:start w:val="1"/>
      <w:numFmt w:val="decimal"/>
      <w:lvlText w:val="%7."/>
      <w:lvlJc w:val="left"/>
      <w:pPr>
        <w:ind w:left="4964" w:hanging="360"/>
      </w:pPr>
    </w:lvl>
    <w:lvl w:ilvl="7" w:tplc="5E20785C">
      <w:start w:val="1"/>
      <w:numFmt w:val="lowerLetter"/>
      <w:lvlText w:val="%8."/>
      <w:lvlJc w:val="left"/>
      <w:pPr>
        <w:ind w:left="5684" w:hanging="360"/>
      </w:pPr>
    </w:lvl>
    <w:lvl w:ilvl="8" w:tplc="BF06FA2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430C8"/>
    <w:rsid w:val="00051A62"/>
    <w:rsid w:val="000530B7"/>
    <w:rsid w:val="00053355"/>
    <w:rsid w:val="0005479B"/>
    <w:rsid w:val="00065E96"/>
    <w:rsid w:val="000718EB"/>
    <w:rsid w:val="00083249"/>
    <w:rsid w:val="000851D9"/>
    <w:rsid w:val="000857E3"/>
    <w:rsid w:val="000A7BC8"/>
    <w:rsid w:val="000B2D7A"/>
    <w:rsid w:val="000E7315"/>
    <w:rsid w:val="000F19EF"/>
    <w:rsid w:val="000F3446"/>
    <w:rsid w:val="000F665B"/>
    <w:rsid w:val="001109E4"/>
    <w:rsid w:val="00113C75"/>
    <w:rsid w:val="00114F36"/>
    <w:rsid w:val="0011562C"/>
    <w:rsid w:val="001244B4"/>
    <w:rsid w:val="00125422"/>
    <w:rsid w:val="0013295A"/>
    <w:rsid w:val="00142EC1"/>
    <w:rsid w:val="0017029F"/>
    <w:rsid w:val="00185F55"/>
    <w:rsid w:val="00191820"/>
    <w:rsid w:val="001A1854"/>
    <w:rsid w:val="001A42C9"/>
    <w:rsid w:val="001B3E4B"/>
    <w:rsid w:val="001B754D"/>
    <w:rsid w:val="001C13CA"/>
    <w:rsid w:val="001D08CF"/>
    <w:rsid w:val="001E5F0E"/>
    <w:rsid w:val="001F0A3A"/>
    <w:rsid w:val="00213212"/>
    <w:rsid w:val="00213982"/>
    <w:rsid w:val="002221D7"/>
    <w:rsid w:val="00222466"/>
    <w:rsid w:val="00225F7D"/>
    <w:rsid w:val="00231344"/>
    <w:rsid w:val="0024178B"/>
    <w:rsid w:val="002A2B9F"/>
    <w:rsid w:val="002B7171"/>
    <w:rsid w:val="002B7187"/>
    <w:rsid w:val="002B72C3"/>
    <w:rsid w:val="002C2BC0"/>
    <w:rsid w:val="002D3873"/>
    <w:rsid w:val="00303774"/>
    <w:rsid w:val="0033008E"/>
    <w:rsid w:val="003414DB"/>
    <w:rsid w:val="0037507B"/>
    <w:rsid w:val="003750FA"/>
    <w:rsid w:val="003826B5"/>
    <w:rsid w:val="00387F10"/>
    <w:rsid w:val="003918D2"/>
    <w:rsid w:val="0039501E"/>
    <w:rsid w:val="0039624F"/>
    <w:rsid w:val="003B03F5"/>
    <w:rsid w:val="003B61CC"/>
    <w:rsid w:val="003C4DD1"/>
    <w:rsid w:val="003D7212"/>
    <w:rsid w:val="003F3BC3"/>
    <w:rsid w:val="00425B98"/>
    <w:rsid w:val="00456EBA"/>
    <w:rsid w:val="00460FAB"/>
    <w:rsid w:val="00466037"/>
    <w:rsid w:val="00473FE3"/>
    <w:rsid w:val="00474D9B"/>
    <w:rsid w:val="00482BE1"/>
    <w:rsid w:val="0048608A"/>
    <w:rsid w:val="00495B5E"/>
    <w:rsid w:val="004B7706"/>
    <w:rsid w:val="004C0020"/>
    <w:rsid w:val="004D33C2"/>
    <w:rsid w:val="004D6F73"/>
    <w:rsid w:val="004E5227"/>
    <w:rsid w:val="004F7EE1"/>
    <w:rsid w:val="00550DAF"/>
    <w:rsid w:val="005525A9"/>
    <w:rsid w:val="00555409"/>
    <w:rsid w:val="0056791E"/>
    <w:rsid w:val="00570F78"/>
    <w:rsid w:val="00574A6C"/>
    <w:rsid w:val="00585577"/>
    <w:rsid w:val="005867D6"/>
    <w:rsid w:val="005923E5"/>
    <w:rsid w:val="00592ECA"/>
    <w:rsid w:val="005A27DB"/>
    <w:rsid w:val="005A4119"/>
    <w:rsid w:val="005B29C0"/>
    <w:rsid w:val="005C2114"/>
    <w:rsid w:val="005C4BF9"/>
    <w:rsid w:val="005C5DDF"/>
    <w:rsid w:val="005D1201"/>
    <w:rsid w:val="005F1591"/>
    <w:rsid w:val="00613985"/>
    <w:rsid w:val="00643653"/>
    <w:rsid w:val="0064788B"/>
    <w:rsid w:val="00666A62"/>
    <w:rsid w:val="00690699"/>
    <w:rsid w:val="006942C2"/>
    <w:rsid w:val="006A265F"/>
    <w:rsid w:val="006B2900"/>
    <w:rsid w:val="006C5110"/>
    <w:rsid w:val="007030D2"/>
    <w:rsid w:val="00716CF1"/>
    <w:rsid w:val="0073310D"/>
    <w:rsid w:val="007539D7"/>
    <w:rsid w:val="00762063"/>
    <w:rsid w:val="007623C8"/>
    <w:rsid w:val="00765577"/>
    <w:rsid w:val="00781949"/>
    <w:rsid w:val="00781B50"/>
    <w:rsid w:val="007845F1"/>
    <w:rsid w:val="00797C04"/>
    <w:rsid w:val="007A0829"/>
    <w:rsid w:val="007A1CD4"/>
    <w:rsid w:val="007B756F"/>
    <w:rsid w:val="007C32A0"/>
    <w:rsid w:val="007C49DF"/>
    <w:rsid w:val="00802542"/>
    <w:rsid w:val="00823646"/>
    <w:rsid w:val="00835978"/>
    <w:rsid w:val="00843897"/>
    <w:rsid w:val="008512EE"/>
    <w:rsid w:val="0085160A"/>
    <w:rsid w:val="008535CE"/>
    <w:rsid w:val="00865170"/>
    <w:rsid w:val="00886C6F"/>
    <w:rsid w:val="00897E39"/>
    <w:rsid w:val="008A19DB"/>
    <w:rsid w:val="008C09FA"/>
    <w:rsid w:val="008C0B9F"/>
    <w:rsid w:val="008D6431"/>
    <w:rsid w:val="008D65C6"/>
    <w:rsid w:val="008D7BCD"/>
    <w:rsid w:val="009178C9"/>
    <w:rsid w:val="00924116"/>
    <w:rsid w:val="0092576A"/>
    <w:rsid w:val="009306AF"/>
    <w:rsid w:val="00936942"/>
    <w:rsid w:val="00937781"/>
    <w:rsid w:val="0094260D"/>
    <w:rsid w:val="009568C7"/>
    <w:rsid w:val="00962FFD"/>
    <w:rsid w:val="009653F2"/>
    <w:rsid w:val="00976629"/>
    <w:rsid w:val="009A1226"/>
    <w:rsid w:val="009D7452"/>
    <w:rsid w:val="009F4B87"/>
    <w:rsid w:val="00A10C30"/>
    <w:rsid w:val="00A144A0"/>
    <w:rsid w:val="00A20D37"/>
    <w:rsid w:val="00A33CFD"/>
    <w:rsid w:val="00A56EF6"/>
    <w:rsid w:val="00A718FB"/>
    <w:rsid w:val="00A746A5"/>
    <w:rsid w:val="00A7497D"/>
    <w:rsid w:val="00A74F2E"/>
    <w:rsid w:val="00AA36BF"/>
    <w:rsid w:val="00AA5C71"/>
    <w:rsid w:val="00AB4A0F"/>
    <w:rsid w:val="00AC55D2"/>
    <w:rsid w:val="00B1273C"/>
    <w:rsid w:val="00B34DA2"/>
    <w:rsid w:val="00B35918"/>
    <w:rsid w:val="00B419BE"/>
    <w:rsid w:val="00B66C62"/>
    <w:rsid w:val="00B919BE"/>
    <w:rsid w:val="00BB3BA0"/>
    <w:rsid w:val="00BB67CB"/>
    <w:rsid w:val="00BD7132"/>
    <w:rsid w:val="00C1318F"/>
    <w:rsid w:val="00C51FC2"/>
    <w:rsid w:val="00C562EF"/>
    <w:rsid w:val="00C94D92"/>
    <w:rsid w:val="00CA57AD"/>
    <w:rsid w:val="00CB2B07"/>
    <w:rsid w:val="00CC65BF"/>
    <w:rsid w:val="00CE497B"/>
    <w:rsid w:val="00D220B5"/>
    <w:rsid w:val="00D520DA"/>
    <w:rsid w:val="00D6057B"/>
    <w:rsid w:val="00D758D2"/>
    <w:rsid w:val="00DA3CC6"/>
    <w:rsid w:val="00DA5E7D"/>
    <w:rsid w:val="00DB0503"/>
    <w:rsid w:val="00DC3C4C"/>
    <w:rsid w:val="00DC7C2D"/>
    <w:rsid w:val="00DD1CE9"/>
    <w:rsid w:val="00DE3581"/>
    <w:rsid w:val="00DE3BD2"/>
    <w:rsid w:val="00E143C8"/>
    <w:rsid w:val="00E33E1E"/>
    <w:rsid w:val="00E35E1F"/>
    <w:rsid w:val="00E43A67"/>
    <w:rsid w:val="00E74BEC"/>
    <w:rsid w:val="00E75E7D"/>
    <w:rsid w:val="00E96FD1"/>
    <w:rsid w:val="00EB37A2"/>
    <w:rsid w:val="00EB40DF"/>
    <w:rsid w:val="00EE5204"/>
    <w:rsid w:val="00EE7F87"/>
    <w:rsid w:val="00F27D93"/>
    <w:rsid w:val="00F30EC2"/>
    <w:rsid w:val="00F36C8D"/>
    <w:rsid w:val="00F7380C"/>
    <w:rsid w:val="00F744D5"/>
    <w:rsid w:val="00F82ED6"/>
    <w:rsid w:val="00F91322"/>
    <w:rsid w:val="00F96776"/>
    <w:rsid w:val="00FA1F3B"/>
    <w:rsid w:val="00FB16E4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2FD8-D882-47C5-BDA7-6C1CC57D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4</cp:revision>
  <cp:lastPrinted>2013-04-04T13:57:00Z</cp:lastPrinted>
  <dcterms:created xsi:type="dcterms:W3CDTF">2013-04-04T13:54:00Z</dcterms:created>
  <dcterms:modified xsi:type="dcterms:W3CDTF">2013-04-04T14:05:00Z</dcterms:modified>
</cp:coreProperties>
</file>